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val="0"/>
        <w:spacing w:beforeLines="0" w:afterLines="0" w:line="500" w:lineRule="exact"/>
        <w:ind w:right="0" w:rightChars="0" w:firstLine="800" w:firstLineChars="200"/>
        <w:jc w:val="center"/>
        <w:outlineLvl w:val="9"/>
        <w:rPr>
          <w:rFonts w:hint="eastAsia" w:ascii="方正小标宋简体" w:hAnsi="方正小标宋简体" w:eastAsia="方正小标宋简体" w:cs="方正小标宋简体"/>
          <w:i w:val="0"/>
          <w:caps w:val="0"/>
          <w:color w:val="000000"/>
          <w:spacing w:val="0"/>
          <w:kern w:val="0"/>
          <w:sz w:val="40"/>
          <w:szCs w:val="40"/>
          <w:highlight w:val="none"/>
          <w:u w:val="none" w:color="auto"/>
          <w:shd w:val="clear" w:color="auto" w:fill="auto"/>
          <w:lang w:val="en-US" w:eastAsia="zh-CN" w:bidi="ar-SA"/>
        </w:rPr>
      </w:pPr>
      <w:r>
        <w:rPr>
          <w:rFonts w:hint="eastAsia" w:ascii="方正小标宋简体" w:hAnsi="方正小标宋简体" w:eastAsia="方正小标宋简体" w:cs="方正小标宋简体"/>
          <w:i w:val="0"/>
          <w:caps w:val="0"/>
          <w:color w:val="000000"/>
          <w:spacing w:val="0"/>
          <w:kern w:val="0"/>
          <w:sz w:val="40"/>
          <w:szCs w:val="40"/>
          <w:highlight w:val="none"/>
          <w:u w:val="none" w:color="auto"/>
          <w:shd w:val="clear" w:color="auto" w:fill="auto"/>
          <w:lang w:val="en-US" w:eastAsia="zh-CN" w:bidi="ar-SA"/>
        </w:rPr>
        <w:t>福建省优化营商环境改革重点任务清单</w:t>
      </w:r>
    </w:p>
    <w:tbl>
      <w:tblPr>
        <w:tblStyle w:val="4"/>
        <w:tblW w:w="13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05"/>
        <w:gridCol w:w="1125"/>
        <w:gridCol w:w="930"/>
        <w:gridCol w:w="2205"/>
        <w:gridCol w:w="4665"/>
        <w:gridCol w:w="1326"/>
        <w:gridCol w:w="1839"/>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blHeader/>
          <w:jc w:val="center"/>
        </w:trPr>
        <w:tc>
          <w:tcPr>
            <w:tcW w:w="805" w:type="dxa"/>
            <w:noWrap w:val="0"/>
            <w:vAlign w:val="center"/>
          </w:tcPr>
          <w:p>
            <w:pPr>
              <w:keepNext w:val="0"/>
              <w:keepLines w:val="0"/>
              <w:widowControl/>
              <w:suppressLineNumbers w:val="0"/>
              <w:jc w:val="center"/>
              <w:textAlignment w:val="center"/>
              <w:rPr>
                <w:rFonts w:ascii="仿宋_GB2312" w:hAnsi="宋体" w:eastAsia="仿宋_GB2312" w:cs="仿宋_GB2312"/>
                <w:b/>
                <w:i w:val="0"/>
                <w:color w:val="000000"/>
                <w:kern w:val="2"/>
                <w:sz w:val="24"/>
                <w:szCs w:val="24"/>
                <w:highlight w:val="none"/>
                <w:u w:val="none"/>
                <w:lang w:val="en-US" w:eastAsia="zh-CN" w:bidi="ar-SA"/>
              </w:rPr>
            </w:pPr>
            <w:r>
              <w:rPr>
                <w:rFonts w:hint="eastAsia" w:ascii="仿宋_GB2312" w:hAnsi="宋体" w:eastAsia="仿宋_GB2312" w:cs="仿宋_GB2312"/>
                <w:b/>
                <w:i w:val="0"/>
                <w:color w:val="000000"/>
                <w:kern w:val="0"/>
                <w:sz w:val="24"/>
                <w:szCs w:val="24"/>
                <w:highlight w:val="none"/>
                <w:u w:val="none"/>
                <w:lang w:val="en-US" w:eastAsia="zh-CN" w:bidi="ar-SA"/>
              </w:rPr>
              <w:t>序号</w:t>
            </w:r>
          </w:p>
        </w:tc>
        <w:tc>
          <w:tcPr>
            <w:tcW w:w="2055" w:type="dxa"/>
            <w:gridSpan w:val="2"/>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2"/>
                <w:sz w:val="24"/>
                <w:szCs w:val="24"/>
                <w:highlight w:val="none"/>
                <w:u w:val="none"/>
                <w:lang w:val="en-US" w:eastAsia="zh-CN" w:bidi="ar-SA"/>
              </w:rPr>
            </w:pPr>
            <w:r>
              <w:rPr>
                <w:rFonts w:hint="eastAsia" w:ascii="仿宋_GB2312" w:hAnsi="宋体" w:eastAsia="仿宋_GB2312" w:cs="仿宋_GB2312"/>
                <w:b/>
                <w:i w:val="0"/>
                <w:color w:val="000000"/>
                <w:kern w:val="0"/>
                <w:sz w:val="24"/>
                <w:szCs w:val="24"/>
                <w:highlight w:val="none"/>
                <w:u w:val="none"/>
                <w:lang w:val="en-US" w:eastAsia="zh-CN" w:bidi="ar-SA"/>
              </w:rPr>
              <w:t>改革事项</w:t>
            </w:r>
          </w:p>
        </w:tc>
        <w:tc>
          <w:tcPr>
            <w:tcW w:w="2205" w:type="dxa"/>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2"/>
                <w:sz w:val="24"/>
                <w:szCs w:val="24"/>
                <w:highlight w:val="none"/>
                <w:u w:val="none"/>
                <w:lang w:val="en-US" w:eastAsia="zh-CN" w:bidi="ar-SA"/>
              </w:rPr>
            </w:pPr>
            <w:r>
              <w:rPr>
                <w:rFonts w:hint="eastAsia" w:ascii="仿宋_GB2312" w:hAnsi="宋体" w:eastAsia="仿宋_GB2312" w:cs="仿宋_GB2312"/>
                <w:b/>
                <w:i w:val="0"/>
                <w:color w:val="000000"/>
                <w:kern w:val="0"/>
                <w:sz w:val="24"/>
                <w:szCs w:val="24"/>
                <w:highlight w:val="none"/>
                <w:u w:val="none"/>
                <w:lang w:val="en-US" w:eastAsia="zh-CN" w:bidi="ar-SA"/>
              </w:rPr>
              <w:t>目标任务</w:t>
            </w:r>
          </w:p>
        </w:tc>
        <w:tc>
          <w:tcPr>
            <w:tcW w:w="4665" w:type="dxa"/>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2"/>
                <w:sz w:val="24"/>
                <w:szCs w:val="24"/>
                <w:highlight w:val="none"/>
                <w:u w:val="none"/>
                <w:lang w:val="en-US" w:eastAsia="zh-CN" w:bidi="ar-SA"/>
              </w:rPr>
            </w:pPr>
            <w:r>
              <w:rPr>
                <w:rFonts w:hint="eastAsia" w:ascii="仿宋_GB2312" w:hAnsi="宋体" w:eastAsia="仿宋_GB2312" w:cs="仿宋_GB2312"/>
                <w:b/>
                <w:i w:val="0"/>
                <w:color w:val="000000"/>
                <w:kern w:val="0"/>
                <w:sz w:val="24"/>
                <w:szCs w:val="24"/>
                <w:highlight w:val="none"/>
                <w:u w:val="none"/>
                <w:lang w:val="en-US" w:eastAsia="zh-CN" w:bidi="ar-SA"/>
              </w:rPr>
              <w:t>具体措施</w:t>
            </w:r>
          </w:p>
        </w:tc>
        <w:tc>
          <w:tcPr>
            <w:tcW w:w="1326" w:type="dxa"/>
            <w:noWrap w:val="0"/>
            <w:vAlign w:val="center"/>
          </w:tcPr>
          <w:p>
            <w:pPr>
              <w:keepNext w:val="0"/>
              <w:keepLines w:val="0"/>
              <w:widowControl/>
              <w:suppressLineNumbers w:val="0"/>
              <w:ind w:left="-199" w:leftChars="-95" w:right="-254" w:rightChars="-121"/>
              <w:jc w:val="center"/>
              <w:textAlignment w:val="center"/>
              <w:rPr>
                <w:rFonts w:hint="eastAsia" w:ascii="仿宋_GB2312" w:hAnsi="宋体" w:eastAsia="仿宋_GB2312" w:cs="仿宋_GB2312"/>
                <w:b/>
                <w:i w:val="0"/>
                <w:color w:val="000000"/>
                <w:kern w:val="2"/>
                <w:sz w:val="24"/>
                <w:szCs w:val="24"/>
                <w:highlight w:val="none"/>
                <w:u w:val="none"/>
                <w:lang w:val="en-US" w:eastAsia="zh-CN" w:bidi="ar-SA"/>
              </w:rPr>
            </w:pPr>
            <w:r>
              <w:rPr>
                <w:rFonts w:hint="eastAsia" w:ascii="仿宋_GB2312" w:hAnsi="宋体" w:eastAsia="仿宋_GB2312" w:cs="仿宋_GB2312"/>
                <w:b/>
                <w:i w:val="0"/>
                <w:color w:val="000000"/>
                <w:kern w:val="0"/>
                <w:sz w:val="24"/>
                <w:szCs w:val="24"/>
                <w:highlight w:val="none"/>
                <w:u w:val="none"/>
                <w:lang w:val="en-US" w:eastAsia="zh-CN" w:bidi="ar-SA"/>
              </w:rPr>
              <w:t>牵头部门</w:t>
            </w:r>
          </w:p>
        </w:tc>
        <w:tc>
          <w:tcPr>
            <w:tcW w:w="1839" w:type="dxa"/>
            <w:noWrap w:val="0"/>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2"/>
                <w:sz w:val="24"/>
                <w:szCs w:val="24"/>
                <w:highlight w:val="none"/>
                <w:u w:val="none"/>
                <w:lang w:val="en-US" w:eastAsia="zh-CN" w:bidi="ar-SA"/>
              </w:rPr>
            </w:pPr>
            <w:r>
              <w:rPr>
                <w:rFonts w:hint="eastAsia" w:ascii="仿宋_GB2312" w:hAnsi="宋体" w:eastAsia="仿宋_GB2312" w:cs="仿宋_GB2312"/>
                <w:b/>
                <w:i w:val="0"/>
                <w:color w:val="000000"/>
                <w:kern w:val="0"/>
                <w:sz w:val="24"/>
                <w:szCs w:val="24"/>
                <w:highlight w:val="none"/>
                <w:u w:val="none"/>
                <w:lang w:val="en-US" w:eastAsia="zh-CN" w:bidi="ar-SA"/>
              </w:rPr>
              <w:t>责任部门</w:t>
            </w:r>
          </w:p>
        </w:tc>
        <w:tc>
          <w:tcPr>
            <w:tcW w:w="971" w:type="dxa"/>
            <w:noWrap w:val="0"/>
            <w:vAlign w:val="center"/>
          </w:tcPr>
          <w:p>
            <w:pPr>
              <w:keepNext w:val="0"/>
              <w:keepLines w:val="0"/>
              <w:widowControl/>
              <w:suppressLineNumbers w:val="0"/>
              <w:ind w:left="-199" w:leftChars="-95" w:right="-202" w:rightChars="-96"/>
              <w:jc w:val="center"/>
              <w:textAlignment w:val="center"/>
              <w:rPr>
                <w:rFonts w:hint="eastAsia" w:ascii="仿宋_GB2312" w:hAnsi="宋体" w:eastAsia="仿宋_GB2312" w:cs="仿宋_GB2312"/>
                <w:b/>
                <w:i w:val="0"/>
                <w:color w:val="000000"/>
                <w:kern w:val="0"/>
                <w:sz w:val="24"/>
                <w:szCs w:val="24"/>
                <w:highlight w:val="none"/>
                <w:u w:val="none"/>
                <w:lang w:val="en-US" w:eastAsia="zh-CN" w:bidi="ar-SA"/>
              </w:rPr>
            </w:pPr>
            <w:r>
              <w:rPr>
                <w:rFonts w:hint="eastAsia" w:ascii="仿宋_GB2312" w:hAnsi="宋体" w:eastAsia="仿宋_GB2312" w:cs="仿宋_GB2312"/>
                <w:b/>
                <w:i w:val="0"/>
                <w:color w:val="000000"/>
                <w:kern w:val="0"/>
                <w:sz w:val="24"/>
                <w:szCs w:val="24"/>
                <w:highlight w:val="none"/>
                <w:u w:val="none"/>
                <w:lang w:val="en-US" w:eastAsia="zh-CN" w:bidi="ar-SA"/>
              </w:rPr>
              <w:t>完成</w:t>
            </w:r>
          </w:p>
          <w:p>
            <w:pPr>
              <w:keepNext w:val="0"/>
              <w:keepLines w:val="0"/>
              <w:widowControl/>
              <w:suppressLineNumbers w:val="0"/>
              <w:ind w:left="-199" w:leftChars="-95" w:right="-202" w:rightChars="-96"/>
              <w:jc w:val="center"/>
              <w:textAlignment w:val="center"/>
              <w:rPr>
                <w:rFonts w:eastAsia="仿宋_GB2312"/>
                <w:vertAlign w:val="baseline"/>
              </w:rPr>
            </w:pPr>
            <w:r>
              <w:rPr>
                <w:rFonts w:hint="eastAsia" w:ascii="仿宋_GB2312" w:hAnsi="宋体" w:eastAsia="仿宋_GB2312" w:cs="仿宋_GB2312"/>
                <w:b/>
                <w:i w:val="0"/>
                <w:color w:val="000000"/>
                <w:kern w:val="0"/>
                <w:sz w:val="24"/>
                <w:szCs w:val="24"/>
                <w:highlight w:val="none"/>
                <w:u w:val="none"/>
                <w:lang w:val="en-US" w:eastAsia="zh-CN" w:bidi="ar-SA"/>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1—2</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一、开办企业</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企业开办环节精简为企业登记、刻制公章、申领发票3个环节，鼓励有条件的地方精简至更少。</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 xml:space="preserve">   1.优化企业开办“一网通办”平台，制定服务指南。2.配合做好全国实施动产和权利担保统一登记工作。</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eastAsia="仿宋_GB2312"/>
                <w:vertAlign w:val="baseline"/>
              </w:rPr>
            </w:pPr>
            <w:r>
              <w:rPr>
                <w:rStyle w:val="6"/>
                <w:rFonts w:hAnsi="宋体" w:eastAsia="仿宋_GB2312"/>
                <w:color w:val="000000"/>
                <w:sz w:val="24"/>
                <w:szCs w:val="24"/>
                <w:highlight w:val="none"/>
                <w:lang w:val="en-US" w:eastAsia="zh-CN" w:bidi="ar-SA"/>
              </w:rPr>
              <w:t>省公安厅、人社厅、税务局、医保局、人行福州中心支行、厦门市税务局等相关部门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3—6</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eastAsia="仿宋_GB2312"/>
                <w:vertAlign w:val="baseline"/>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压减</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时间</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企业开办时间压减至1个工作日内。</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 xml:space="preserve">   1.推行名称自主申报和设立登记一并办理，实行企业住所（经营场所）申报承诺制、经营范围规范化登记。2.依托“闽政通”APP，实行网上自助刻章，由公章制作服务单位向公安部门备案。3.推行网上申领发票和税控设备，推行电子发票，实行新办纳税人“套餐式”服务。4.企业办理设立登记，可自主选择商业银行网点预约银行开户。</w:t>
            </w:r>
          </w:p>
        </w:tc>
        <w:tc>
          <w:tcPr>
            <w:tcW w:w="13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eastAsia="仿宋_GB2312"/>
                <w:vertAlign w:val="baseline"/>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省公安厅、税务局、人社厅、医保局、人行福州中心支行、</w:t>
            </w:r>
            <w:r>
              <w:rPr>
                <w:rStyle w:val="6"/>
                <w:rFonts w:hAnsi="宋体" w:eastAsia="仿宋_GB2312"/>
                <w:color w:val="000000"/>
                <w:sz w:val="24"/>
                <w:szCs w:val="24"/>
                <w:highlight w:val="none"/>
                <w:lang w:val="en-US" w:eastAsia="zh-CN" w:bidi="ar-SA"/>
              </w:rPr>
              <w:t>厦门市税务局</w:t>
            </w:r>
            <w:r>
              <w:rPr>
                <w:rFonts w:hint="eastAsia" w:ascii="仿宋_GB2312" w:hAnsi="宋体" w:eastAsia="仿宋_GB2312" w:cs="仿宋_GB2312"/>
                <w:i w:val="0"/>
                <w:color w:val="000000"/>
                <w:kern w:val="0"/>
                <w:sz w:val="24"/>
                <w:szCs w:val="24"/>
                <w:highlight w:val="none"/>
                <w:u w:val="none"/>
                <w:lang w:val="en-US" w:eastAsia="zh-CN" w:bidi="ar-SA"/>
              </w:rPr>
              <w:t>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eastAsia="仿宋_GB2312"/>
                <w:vertAlign w:val="baseline"/>
              </w:rPr>
            </w:pPr>
            <w:r>
              <w:rPr>
                <w:rFonts w:hint="eastAsia" w:ascii="仿宋_GB2312" w:hAnsi="宋体" w:eastAsia="仿宋_GB2312" w:cs="仿宋_GB2312"/>
                <w:i w:val="0"/>
                <w:color w:val="000000"/>
                <w:kern w:val="0"/>
                <w:sz w:val="24"/>
                <w:szCs w:val="24"/>
                <w:highlight w:val="none"/>
                <w:u w:val="none"/>
                <w:lang w:val="en-US" w:eastAsia="zh-CN" w:bidi="ar-SA"/>
              </w:rPr>
              <w:t>2021年6月底前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7</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成本</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减免企业开办税务环节费用。</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全省免费向新开办企业发放税务Ukey，改变税控设备“先买后抵”的领用方式。免费提供开具电子专用发票服务。</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color w:val="000000"/>
                <w:kern w:val="0"/>
                <w:sz w:val="24"/>
                <w:szCs w:val="24"/>
                <w:highlight w:val="none"/>
                <w:lang w:val="en-US" w:eastAsia="zh-CN" w:bidi="ar-SA"/>
              </w:rPr>
            </w:pPr>
            <w:r>
              <w:rPr>
                <w:rFonts w:hint="eastAsia" w:ascii="仿宋_GB2312" w:hAnsi="宋体" w:eastAsia="仿宋_GB2312" w:cs="仿宋_GB2312"/>
                <w:color w:val="000000"/>
                <w:kern w:val="0"/>
                <w:sz w:val="24"/>
                <w:szCs w:val="24"/>
                <w:highlight w:val="none"/>
                <w:lang w:val="en-US" w:eastAsia="zh-CN" w:bidi="ar-SA"/>
              </w:rPr>
              <w:t>省税务局、</w:t>
            </w:r>
          </w:p>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Style w:val="6"/>
                <w:rFonts w:hAnsi="宋体" w:eastAsia="仿宋_GB2312"/>
                <w:highlight w:val="none"/>
                <w:lang w:val="en-US" w:eastAsia="zh-CN" w:bidi="ar-SA"/>
              </w:rPr>
            </w:pPr>
            <w:r>
              <w:rPr>
                <w:rStyle w:val="6"/>
                <w:rFonts w:hAnsi="宋体" w:eastAsia="仿宋_GB2312"/>
                <w:highlight w:val="none"/>
                <w:lang w:val="en-US" w:eastAsia="zh-CN" w:bidi="ar-SA"/>
              </w:rPr>
              <w:t>厦门市</w:t>
            </w:r>
          </w:p>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Calibri" w:hAnsi="Calibri" w:eastAsia="仿宋_GB2312" w:cs="Times New Roman"/>
                <w:color w:val="000000"/>
                <w:kern w:val="2"/>
                <w:sz w:val="24"/>
                <w:szCs w:val="24"/>
                <w:highlight w:val="none"/>
                <w:lang w:val="en-US" w:eastAsia="zh-CN" w:bidi="ar-SA"/>
              </w:rPr>
            </w:pPr>
            <w:r>
              <w:rPr>
                <w:rStyle w:val="6"/>
                <w:rFonts w:hAnsi="宋体" w:eastAsia="仿宋_GB2312"/>
                <w:highlight w:val="none"/>
                <w:lang w:val="en-US" w:eastAsia="zh-CN" w:bidi="ar-SA"/>
              </w:rPr>
              <w:t>税务局</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8</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一、开办企业</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提升便利度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对所有涉企经营许可事项实行分类改革，其中取消审批，改为备案或实行告知承诺的事项达到100项，自贸试验区达到150项。</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全省实现“证照分离”改革全覆盖，对所有涉企经营许可事项按照直接取消审批、审批改为备案、实行告知承诺、优化审批服务等四种方式分类推进改革。</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省市场监管局、发改委、司法厅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省商务厅（自贸办）等相关部门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9</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rPr>
                <w:rFonts w:eastAsia="仿宋_GB2312"/>
                <w:vertAlign w:val="baseline"/>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rPr>
                <w:rFonts w:eastAsia="仿宋_GB2312"/>
                <w:vertAlign w:val="baseline"/>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在厦门试点市场监管领域的“一业一证”改革，实现“一证准营”。</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按照“一次告知、一表申请、一窗受理、一同核查、一并审批、一证准营、一体监管”的基本思路，在超市、药店、母婴用品店等试点市场监管领域推进“一业一证”改革。申请人只需向市场监管部门提交一套材料，审批部门通过联动审批，统一出具办理结果，颁发《行业综合许可证》。</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10—13</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二、办理建筑</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许可</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社会投资小型仓储项目办理手续从18个减至15个。</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color w:val="000000"/>
                <w:sz w:val="24"/>
                <w:szCs w:val="24"/>
                <w:highlight w:val="none"/>
                <w:lang w:val="en-US" w:eastAsia="zh-CN" w:bidi="ar-SA"/>
              </w:rPr>
              <w:t xml:space="preserve">    </w:t>
            </w:r>
            <w:r>
              <w:rPr>
                <w:rStyle w:val="6"/>
                <w:rFonts w:hint="eastAsia" w:ascii="仿宋_GB2312" w:hAnsi="仿宋_GB2312" w:eastAsia="仿宋_GB2312" w:cs="仿宋_GB2312"/>
                <w:color w:val="000000"/>
                <w:sz w:val="24"/>
                <w:szCs w:val="24"/>
                <w:highlight w:val="none"/>
                <w:lang w:val="en-US" w:eastAsia="zh-CN" w:bidi="ar-SA"/>
              </w:rPr>
              <w:t>1.</w:t>
            </w:r>
            <w:r>
              <w:rPr>
                <w:rStyle w:val="6"/>
                <w:rFonts w:hint="eastAsia" w:ascii="仿宋_GB2312" w:hAnsi="仿宋_GB2312" w:eastAsia="仿宋_GB2312" w:cs="仿宋_GB2312"/>
                <w:kern w:val="2"/>
                <w:sz w:val="24"/>
                <w:szCs w:val="24"/>
                <w:highlight w:val="none"/>
                <w:lang w:val="en-US" w:eastAsia="zh-CN" w:bidi="ar-SA"/>
              </w:rPr>
              <w:t>清理不合理的审批前置事项和特殊环节，公布保留清单。2.</w:t>
            </w:r>
            <w:r>
              <w:rPr>
                <w:rStyle w:val="8"/>
                <w:rFonts w:hint="eastAsia" w:ascii="仿宋_GB2312" w:hAnsi="仿宋_GB2312" w:eastAsia="仿宋_GB2312" w:cs="仿宋_GB2312"/>
                <w:kern w:val="2"/>
                <w:sz w:val="24"/>
                <w:szCs w:val="24"/>
                <w:highlight w:val="none"/>
                <w:lang w:val="en-US" w:eastAsia="zh-CN" w:bidi="ar-SA"/>
              </w:rPr>
              <w:t>对社会投资小型仓储项目，</w:t>
            </w:r>
            <w:r>
              <w:rPr>
                <w:rStyle w:val="6"/>
                <w:rFonts w:hint="eastAsia" w:ascii="仿宋_GB2312" w:hAnsi="仿宋_GB2312" w:eastAsia="仿宋_GB2312" w:cs="仿宋_GB2312"/>
                <w:kern w:val="2"/>
                <w:sz w:val="24"/>
                <w:szCs w:val="24"/>
                <w:highlight w:val="none"/>
                <w:lang w:val="en-US" w:eastAsia="zh-CN" w:bidi="ar-SA"/>
              </w:rPr>
              <w:t>施工图审查不再作为办理施工许可的前置条件，改由设计单位和设计项目负责人作出设计质量书面承诺，主管部门事中事后抽查监管。3.不强制要求工程监理，鼓励有条件的建设单位实行自管模式。4.规划、土地、人防、消防、档案实行联合竣工验收。</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省住建厅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省自然资源厅</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14—15</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rPr>
                <w:rFonts w:eastAsia="仿宋_GB2312"/>
                <w:vertAlign w:val="baseline"/>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压减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时间</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社会投资小型仓储项目审批时间减至50个工作日内。</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1.推行“清单制+告知承诺制”审批。2.推行容缺受理、提前审查、并联审批；在前置审批部门作出审批意见前，实行容缺受理、提前审查；对于符合条件的，在前置审批部门作出审批意见后，即予以审批。</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rPr>
                <w:rFonts w:eastAsia="仿宋_GB2312"/>
                <w:vertAlign w:val="baseline"/>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省发改委、自然资源厅</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16</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二、办理建筑</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许可</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成本</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减免办理费用。</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有条件的地区探索推行以政府购买服务方式开展施工图设计文件审查。</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rPr>
                <w:rFonts w:eastAsia="仿宋_GB2312"/>
                <w:vertAlign w:val="baseline"/>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省财政厅</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17—19</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rPr>
                <w:rFonts w:ascii="Calibri" w:hAnsi="Calibri" w:eastAsia="仿宋_GB2312" w:cs="Times New Roman"/>
                <w:kern w:val="2"/>
                <w:sz w:val="21"/>
                <w:szCs w:val="24"/>
                <w:vertAlign w:val="baseline"/>
                <w:lang w:val="en-US" w:eastAsia="zh-CN" w:bidi="ar-SA"/>
              </w:rPr>
            </w:pP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提升便利度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推行工程项目全流程在线审批。</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升级改造省、市两级工程建设项目审批管理系统，规范完善电子文件归档和电子档案管理功能，建立工程项目审批可信电子文件库。2.推行工程建设项目审批电子档案管理，制定审批电子文件归档和电子档案管理办法。3.将工程建设项目审批涉及的行政审批、备案、评估评审、中介服务、市政公用服务等纳入线上平台。</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省住建厅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省数字办、</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档案局</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推动工程建设项目审批中介网上交易。</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进一步梳理工程建设项目审批中介服务事项清单，并在福建省工程建设项目审批中介服务网上交易平台公布、公开办理指南，明确适用范围、服务标准、办事流程、服务收费和承诺时限。2.推动工程建设项目审批中介服务进入网上交易平台进行交易，并纳入工程项目审批管理系统。</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22</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8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实现用地、规划、施工、验收、不动产登记等环节测绘成果共享互认。</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推行竣工阶段“多测合一”。由建设单位委托同一家或多家测绘单位承担，实行“一次委托、联合测绘、成果共享”。</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省自然资源厅</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910"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23—25</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三、获得电力</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有条件的设区市将高压用户用电报装环节压减至3个，全面实现用电报装业务线上办理。</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实行行政审批申请“一窗受理”,各审批部门依托政务服务平台开展线上并联审批，实现申请进度和结果可在线查询。2.电力接入工程审批提速，低压、20千伏及以下高压破路行政审批分别压缩至3个、5个工作日内。3.探索告知承诺、审批改备案等破路审批方式。</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省发改委、国网福建省电力公司</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省数字办、住建厅、自然资源厅、交通运输厅</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80"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26</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压减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时间</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实行“三零”服务的低压非居民用户全过程办电时间压减至15个工作日内。</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压减供电方案答复时间，深化移动作业终端应用，提升工程物资供应速度，加快业务办理和配套电网接入工程建设，实现用电报装业务各环节限时办理。</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福建能监办</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27—28</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成本</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拓展新型服务模式，切实降低用户办电成本。</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1.鼓励各地政府支持出资建设市区630千伏安及以下高压用户外线，降低用户办电成本。2.对小微企业用户，进一步优化160千瓦及以下小微企业低压接入全覆盖的“三零”服务。</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福建能监办</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29</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220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推动受电工程建设标准化。</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40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福建能监办</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30</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三、获得电力</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提高供电可靠性和电费透明度</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福州和厦门市的中心区、市区、城镇、农村地区用户年均停电时间分别减至1个、2个、5个、11个小时内；省内其他设区市分别减至2个、5个、9个、15个小时内。</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加强薄弱地区配电网规划建设，实施设备精益管理，强化抢修工单分析研判，开展配电网建设改造。</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省发改委、国网福建省电力公司</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福建能监办</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31</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220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严控计划停电，全面开展业扩不停电作业，扩大中低压带电作业范围，提高业扩带电接火率至93%。</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福建能监办</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32—34</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220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制定或调整电价时，提前一个月向社会公布，提高电费透明度。2.及时公开并更新服务流程、办理环节及时限、申请资料、收费项目与标准等。3.拓展“网上国网”手机APP、95598网站、政府信息公开网等信息公开渠道。</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35</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1"/>
                <w:szCs w:val="24"/>
                <w:vertAlign w:val="baseline"/>
                <w:lang w:val="en-US" w:eastAsia="zh-CN" w:bidi="ar-SA"/>
              </w:rPr>
            </w:pP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便利度</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用户线上办电率达90%以上。</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建设政企协同办电信息共享平台，电力服务嵌入“闽政通”政务平台。实现供电企业在线获取验证营业执照、身份证件、不动产登记等用电报装信息。</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省数字办、公安厅、自然资源厅</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36</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220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优化“网上国网”福建端功能，提供报装、查询、缴费等“一网通办”服务。</w:t>
            </w:r>
          </w:p>
        </w:tc>
        <w:tc>
          <w:tcPr>
            <w:tcW w:w="1326"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40" w:lineRule="exact"/>
              <w:rPr>
                <w:rFonts w:ascii="Calibri" w:hAnsi="Calibri" w:eastAsia="仿宋_GB2312" w:cs="Times New Roman"/>
                <w:kern w:val="2"/>
                <w:sz w:val="24"/>
                <w:szCs w:val="24"/>
                <w:vertAlign w:val="baseline"/>
                <w:lang w:val="en-US" w:eastAsia="zh-CN" w:bidi="ar-SA"/>
              </w:rPr>
            </w:pP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37—38</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四、获得用水</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用气</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办理手续不超过报装申请、现场踏勘审核两个手续，申请材料不超过两份。</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通过工程建设项目审批管理系统，在工程规划审批阶段将建设单位相关申请信息自动推送市政公用服务单位，施工用水手续在用地预审或签订土地出让合同后即可办理。2.督促各地供水企业报装服务全部入驻行政服务中心。</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省住建厅</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39—40</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四、获得用水</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用气</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压减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时间</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用水报装时间减至9个工作日内，用气报装时间减至8个工作日内。</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压缩现场踏勘审核时间，对无外线、有外线工程用户，供水供气企业分别在接收到报装信息后2个、5个工作日内完成现场勘查审核。2.压缩接入通水时间，对无外线、有外线工程用户，供水企业分别在2个、4个工作日内完成接入通水。（获得用气用水承诺办理时间不包含供水供气方案设计、工程预算、现场施工的时间）</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省住建厅</w:t>
            </w: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41</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成本</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清理取消供水环节不合理收费。</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tc>
        <w:tc>
          <w:tcPr>
            <w:tcW w:w="1326"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1839" w:type="dxa"/>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42</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五、登记财产</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实现不动产登记网上一窗受理。</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建设不动产登记网上“一窗办理”平台，并接入国家不动产登记网上“一窗办事”平台。</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省自然</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资源厅</w:t>
            </w:r>
          </w:p>
        </w:tc>
        <w:tc>
          <w:tcPr>
            <w:tcW w:w="183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省税务局、</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住建厅</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43</w:t>
            </w:r>
          </w:p>
        </w:tc>
        <w:tc>
          <w:tcPr>
            <w:tcW w:w="1125"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实现与其他业务联办。</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实现不动产登记与水电气有线电视等业务联办。</w:t>
            </w:r>
          </w:p>
        </w:tc>
        <w:tc>
          <w:tcPr>
            <w:tcW w:w="1326"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省住建厅、</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广电局</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44</w:t>
            </w:r>
          </w:p>
        </w:tc>
        <w:tc>
          <w:tcPr>
            <w:tcW w:w="1125"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压减</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时间</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一般登记业务办理时间减至3个工作日内。</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进一步梳理不动产登记事项清单，完善自检规则，精简审查材料，提升登记效率。</w:t>
            </w:r>
          </w:p>
        </w:tc>
        <w:tc>
          <w:tcPr>
            <w:tcW w:w="1326"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45</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五、登记财产</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成本</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降低小微企业不动产登记成本。</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小微企业书面承诺即可免收不动产登记费，无需提交证明材料。</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省自然</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资源厅</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46</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便利度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推行不动产网上登记。</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推进不动产登记网上受理审核，推广应用电子不动产登记证明证书，全省实现异地网上申请商品房预售、抵押涉及的不动产预告登记、抵押登记和不动产登记信息查询。 </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省住建厅、金融监管局、福建银保监局、厦门银保监局</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47</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推行公开出让项目“交地即交证”。</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国有建设用地“招拍挂”成交后，将土地权属审核工作前置到交地环节之前，提前完成权属调查、资料审核、测绘落宗、信息录入等工作，实现国有建设用地公开出让项目在交地时即发放证书。</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48—50</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六、纳税</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优化纳税缴费流程。</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w:t>
            </w:r>
            <w:r>
              <w:rPr>
                <w:rFonts w:hint="eastAsia" w:ascii="仿宋_GB2312" w:hAnsi="宋体" w:eastAsia="仿宋_GB2312" w:cs="仿宋_GB2312"/>
                <w:i w:val="0"/>
                <w:color w:val="000000"/>
                <w:spacing w:val="-6"/>
                <w:kern w:val="0"/>
                <w:sz w:val="24"/>
                <w:szCs w:val="24"/>
                <w:highlight w:val="none"/>
                <w:u w:val="none"/>
                <w:lang w:val="en-US" w:eastAsia="zh-CN" w:bidi="ar-SA"/>
              </w:rPr>
              <w:t xml:space="preserve">  1.推行税费项目办理流程标准化，扩展网上办税事项范围，动态更新业务操作规范和办税指南。2.精简纳税申报流程，实现主税、附加税（费）合并申报和10个财产行为税一体化申报。3.推行税务证明事项告知承诺制。</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6"/>
                <w:rFonts w:hAnsi="宋体" w:eastAsia="仿宋_GB2312"/>
                <w:color w:val="000000"/>
                <w:sz w:val="24"/>
                <w:szCs w:val="24"/>
                <w:highlight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省税务局、</w:t>
            </w:r>
            <w:r>
              <w:rPr>
                <w:rStyle w:val="6"/>
                <w:rFonts w:hAnsi="宋体" w:eastAsia="仿宋_GB2312"/>
                <w:color w:val="000000"/>
                <w:sz w:val="24"/>
                <w:szCs w:val="24"/>
                <w:highlight w:val="none"/>
                <w:lang w:val="en-US" w:eastAsia="zh-CN" w:bidi="ar-SA"/>
              </w:rPr>
              <w:t>厦门市</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税务局</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51—52</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压减</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时间</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Fonts w:hint="eastAsia" w:ascii="仿宋_GB2312" w:hAnsi="宋体" w:eastAsia="仿宋_GB2312" w:cs="仿宋_GB2312"/>
                <w:i w:val="0"/>
                <w:color w:val="000000"/>
                <w:spacing w:val="-6"/>
                <w:kern w:val="0"/>
                <w:sz w:val="24"/>
                <w:szCs w:val="24"/>
                <w:highlight w:val="none"/>
                <w:u w:val="none"/>
                <w:lang w:val="en-US" w:eastAsia="zh-CN" w:bidi="ar-SA"/>
              </w:rPr>
              <w:t>2021年底前纳税缴费时间减至110小时以内，2022年底前减至100小时。</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Fonts w:hint="eastAsia" w:ascii="仿宋_GB2312" w:hAnsi="宋体" w:eastAsia="仿宋_GB2312" w:cs="仿宋_GB2312"/>
                <w:i w:val="0"/>
                <w:color w:val="000000"/>
                <w:spacing w:val="-6"/>
                <w:kern w:val="0"/>
                <w:sz w:val="24"/>
                <w:szCs w:val="24"/>
                <w:highlight w:val="none"/>
                <w:u w:val="none"/>
                <w:lang w:val="en-US" w:eastAsia="zh-CN" w:bidi="ar-SA"/>
              </w:rPr>
              <w:t xml:space="preserve">    1.推行增值税专用发票电子化，实现发票状态及时告知和发票信息批量下载。2.推行“首票服务制”，升级增值税发票开票软件功能，实现纳税人网上解锁税控开票设备。</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53</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2205"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落实即时办理税务注销容缺制，实现税务注销规范化办理。</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54—55</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六、纳税</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提升便利度</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拓展“非接触式”办税缴费服务，基本实现企业办税缴费事项可网上办理、个人办税缴费事项可掌上办理。</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优化电子税务局功能，实现建安纳税人跨区域涉税业务全流程网上可办，划转项目可网上申报缴纳，完善税务文书电子送达功能。2.符合简易程序行政处罚、不予行政处罚的逾期纳税申报和报送纳税资料行为，可在线处理。</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Style w:val="6"/>
                <w:rFonts w:hAnsi="宋体" w:eastAsia="仿宋_GB2312"/>
                <w:color w:val="000000"/>
                <w:sz w:val="24"/>
                <w:szCs w:val="24"/>
                <w:highlight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省税务局、</w:t>
            </w:r>
            <w:r>
              <w:rPr>
                <w:rStyle w:val="6"/>
                <w:rFonts w:hAnsi="宋体" w:eastAsia="仿宋_GB2312"/>
                <w:color w:val="000000"/>
                <w:sz w:val="24"/>
                <w:szCs w:val="24"/>
                <w:highlight w:val="none"/>
                <w:lang w:val="en-US" w:eastAsia="zh-CN" w:bidi="ar-SA"/>
              </w:rPr>
              <w:t>厦门市</w:t>
            </w:r>
          </w:p>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税务局</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1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56—59</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2205"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引导纳税人和缴费人优先选择“非接触式”办税方式，实现网上开具个人所得税纳税记录。2.运行城乡居民“两险”综合缴费平台。3.建设社保费“区块链”缴费凭证系统。4.优化个人在线缴纳房地产交易税费服务。</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1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60</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2205"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开展智能云书柜试点，实现涉税证明开具、涉税文书打印、涉税表单打印等输出业务就近办理。</w:t>
            </w:r>
          </w:p>
        </w:tc>
        <w:tc>
          <w:tcPr>
            <w:tcW w:w="1326"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1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61—62</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七、跨境贸易</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提升通关效率</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推行便利化通关模式。</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1.深化“提前申报”“两步申报”“两段准入”等改革。2.推进进口货物“船边直提”和出口货物“抵港直装”试点。</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福州海关、    厦门海关</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省交通运输厅、福建海事局、省港口集团</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63—65</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优化海关查验作业模式。</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1.提高非侵入式检查比例，扩大“智能审图”等覆盖范围。2.科学设置布控比例，优化布控指令。3.推广“不陪同查验”“委托监管场所经营人陪同查验”模式。</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福州海关、    厦门海关</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1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66—67</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10" w:lineRule="exact"/>
              <w:rPr>
                <w:rFonts w:ascii="Calibri" w:hAnsi="Calibri" w:eastAsia="仿宋_GB2312" w:cs="Times New Roman"/>
                <w:kern w:val="2"/>
                <w:sz w:val="21"/>
                <w:szCs w:val="24"/>
                <w:vertAlign w:val="baseli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提升收费透</w:t>
            </w:r>
          </w:p>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明度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实现口岸收费公开、透明，便利企业比较和选择。</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1.落实口岸收费目录清单制度，动态调整，清单之外一律不得收费。2.实现口岸收费信息线上公开、在线查询。</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省商务厅（口岸办）</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省财政厅、发改委、交通运输厅、市场监管局、港口集团</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68—70</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七、跨境贸易</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提升便利度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推进作业无纸化。</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推动港口业务“线上办”“掌上办”。2.在以集装箱运输为主的海运口岸，推进集装箱设备交接单、装箱单、提货单等单证电子化。3.推动进出口环节监管证件、口岸“通关+物流”业务协同通过国际贸易“单一窗口”一口受理。</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省商务厅（口岸办）、交通运输厅、福州海关、厦门海关</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省港口集团</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71—74</w:t>
            </w:r>
          </w:p>
        </w:tc>
        <w:tc>
          <w:tcPr>
            <w:tcW w:w="112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八、融资支持</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扩大信贷规模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加大小微企业信贷支持力度。</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鼓励银行业金融机构加大小微企业“首贷户”信贷支持力度，有条件的地方推广“首贷窗口、首贷热线、首贷保”等产品服务。2.做好纾困政策实施和接续，进一步做精做细大中企业应急融资和中小企业应急贷款试点工作。3.推动做好延期还本付息等政策的落实与衔接。4.加强对银行业机构金融服务小微企业工作的监管考核。</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人行福州中心支行、福建银保监局、厦门银保监局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省财政厅、金融监管局、工信厅等相关部门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75—76</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rPr>
                <w:rFonts w:ascii="Calibri" w:hAnsi="Calibri" w:eastAsia="仿宋_GB2312" w:cs="Times New Roman"/>
                <w:kern w:val="2"/>
                <w:sz w:val="21"/>
                <w:szCs w:val="24"/>
                <w:vertAlign w:val="baseli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扩大直接融资规模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拓宽股权、债权融资渠道。</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推动符合条件的省重点上市后备企业开展股份制改造，积极引导符合条件的企业到境内外资本市场上市融资，推动区域性股权交易市场规范发展，支持各类股权投资基金集聚发展。2.鼓励企业充分运用银行间市场和交易所债券融资工具筹集资金。</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省金融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人行福州中心支行、福建证监局、厦门证监局、省发改委等相关部门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77</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00" w:lineRule="exact"/>
              <w:rPr>
                <w:rFonts w:ascii="Calibri" w:hAnsi="Calibri" w:eastAsia="仿宋_GB2312" w:cs="Times New Roman"/>
                <w:kern w:val="2"/>
                <w:sz w:val="21"/>
                <w:szCs w:val="24"/>
                <w:vertAlign w:val="baseli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提升融资便</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提高线上融资对接效率。</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鼓励金融机构通过“信易贷”“金服云”“产融云”“银税互动”等金融服务平台，加大对中小微企业信贷投放力度。</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spacing w:val="-6"/>
                <w:kern w:val="0"/>
                <w:sz w:val="24"/>
                <w:szCs w:val="24"/>
                <w:highlight w:val="none"/>
                <w:u w:val="none"/>
                <w:lang w:val="en-US" w:eastAsia="zh-CN" w:bidi="ar-SA"/>
              </w:rPr>
            </w:pPr>
            <w:r>
              <w:rPr>
                <w:rStyle w:val="6"/>
                <w:rFonts w:hAnsi="宋体" w:eastAsia="仿宋_GB2312"/>
                <w:color w:val="000000"/>
                <w:spacing w:val="-6"/>
                <w:sz w:val="24"/>
                <w:szCs w:val="24"/>
                <w:highlight w:val="none"/>
                <w:lang w:val="en-US" w:eastAsia="zh-CN" w:bidi="ar-SA"/>
              </w:rPr>
              <w:t>福建银保监局、厦门银保监局、人行福州中心支行、省发改委、金融监管局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省工信厅、</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税务局</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78—79</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八、融资支持</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降低融资成本</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政府性融资担保费率全部降至1.5%以下，扩大政府性融资担保机构融资担保放大倍数。</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 xml:space="preserve">    1.将政府性融资担保对小微企业和“三农”主体</w:t>
            </w:r>
            <w:r>
              <w:rPr>
                <w:rStyle w:val="9"/>
                <w:rFonts w:hAnsi="宋体" w:eastAsia="仿宋_GB2312"/>
                <w:color w:val="000000"/>
                <w:sz w:val="24"/>
                <w:szCs w:val="24"/>
                <w:highlight w:val="none"/>
                <w:lang w:val="en-US" w:eastAsia="zh-CN" w:bidi="ar-SA"/>
              </w:rPr>
              <w:t>业务的平均年化担保费率纳入各地金融监管部门金融风险防控指标考核内容。2.2021年末政府性融资担保机构融资担保放大倍数达到3倍，2022年末达到3.5倍。</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省金融</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80—82</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5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5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缓解小微企业融资贵问题。</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深入落实利率市场化改革，释放改革促进降低贷款实际利率的潜力。加大无还本续贷、银税互动等产品推广力度，提高小微企业无还本续贷、信用贷款的余额。2.鼓励宁德、龙岩普惠金融改革试验区两地法人银行业机构加快推广、应用抵押物自主评估系统，率先实现500万元以下县域房产抵押贷款自评估。3.探索推动银行业机构开展房产抵押贷款自评估。</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人行福州中心支行、福建银保监局、厦门银保监局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省金融监管局</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default"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83</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5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5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查处违规收费行为。</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强化银行业违规收费投诉督查和消保考评工作，进一步压实银行业机构主体责任；持续查处银行业涉嫌违规举报事项，维护良好金融环境。</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ind w:right="-55" w:rightChars="-26"/>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Style w:val="6"/>
                <w:rFonts w:hAnsi="宋体" w:eastAsia="仿宋_GB2312"/>
                <w:color w:val="000000"/>
                <w:spacing w:val="-6"/>
                <w:sz w:val="24"/>
                <w:szCs w:val="24"/>
                <w:highlight w:val="none"/>
                <w:lang w:val="en-US" w:eastAsia="zh-CN" w:bidi="ar-SA"/>
              </w:rPr>
              <w:t>人行福州中心支行、福建银保监局、厦门银保监局</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5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84—85</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九、执行合同</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提升案件审理效率。</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1.开展民事诉讼程序繁简分流改革试点，推进案件繁简分流、轻重分离、快慢分道。2.推行企业送达监管信息共享机制，文书送达地址先行确认及承诺制度，提升司法送达法律文书效率。</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省法院</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省市场监管局</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5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86—87</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九、执行合同</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便利度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推广电子卷宗随案同步生成和深度应用。</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1.探索当事人在诉讼全过程无需提交纸质材料的案件领域和方式。2.完善跨域远程查阅功能，实现当事人在提出上诉、申请再审、申请执行时无需提供裁判文书及其生效证明。</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省法院</w:t>
            </w: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88</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完善司法鉴定工作。</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完善司法鉴定机构综合评价指标体系。</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省司法厅</w:t>
            </w: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89</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实现多元化纠纷化解。</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持续深化大调解格局建设，完善多元纠纷化解机制，积极推动中小企业纠纷非诉讼解决。</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省司法厅</w:t>
            </w: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90</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加强优化营商环境法律政策宣传。</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指导督促各地各部门健全“谁执法谁普法”工作机制，将优化营商环境相关法律法规规章宣传列入每年度普法责任清单、重要时间节点普法宣传清单，推动执法与普法深度融合、良性互动。</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省司法厅</w:t>
            </w: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91</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十、办理破产</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提升执行移送破产效率。</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完善“执破直通”机制，推进执行移送破产的受理审查与破产程序衔接，提升“执转破”质效，有效缩短“执转破”案件审理周期。</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省法院</w:t>
            </w: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92</w:t>
            </w:r>
          </w:p>
        </w:tc>
        <w:tc>
          <w:tcPr>
            <w:tcW w:w="1125"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widowControl/>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简化破产程序。</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探索破产案件简化审理模式，对事实清楚、债权关系明确、争议不大且符合破产财产可能不足以支付全部破产费用、债务人没有提供账册或账册严重不齐等条件之一的企业破产案件实行简易破产程序。</w:t>
            </w:r>
          </w:p>
        </w:tc>
        <w:tc>
          <w:tcPr>
            <w:tcW w:w="1326"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93—94</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十、办理破产</w:t>
            </w: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压减</w:t>
            </w:r>
          </w:p>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时间</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简易破产案件平均审理周期控制在180天内。</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1.建立智慧破产审理系统，实现破产案件全流程线上办理。2.提升破产管理人履职效能，加快破产案件办理。</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省法院</w:t>
            </w:r>
          </w:p>
        </w:tc>
        <w:tc>
          <w:tcPr>
            <w:tcW w:w="1839" w:type="dxa"/>
            <w:noWrap w:val="0"/>
            <w:vAlign w:val="center"/>
          </w:tcPr>
          <w:p>
            <w:pPr>
              <w:widowControl w:val="0"/>
              <w:jc w:val="left"/>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95</w:t>
            </w:r>
          </w:p>
        </w:tc>
        <w:tc>
          <w:tcPr>
            <w:tcW w:w="1125"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加强“府院联动”</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化解破产处置难题。</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加快建立省级层面企业破产处置协调联动机制，协调解决破产处置工作中的税收政策适用、核销、重整企业信用修复、破产财产处置、建立破产援助资金等破产处置瓶颈问题。</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省法院</w:t>
            </w:r>
          </w:p>
        </w:tc>
        <w:tc>
          <w:tcPr>
            <w:tcW w:w="1839"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省发改委、工信厅、税务局、市场监管局、</w:t>
            </w:r>
            <w:r>
              <w:rPr>
                <w:rStyle w:val="6"/>
                <w:rFonts w:hAnsi="宋体" w:eastAsia="仿宋_GB2312"/>
                <w:color w:val="000000"/>
                <w:spacing w:val="0"/>
                <w:sz w:val="24"/>
                <w:szCs w:val="24"/>
                <w:highlight w:val="none"/>
                <w:lang w:val="en-US" w:eastAsia="zh-CN" w:bidi="ar-SA"/>
              </w:rPr>
              <w:t>厦门市税务局</w:t>
            </w:r>
            <w:r>
              <w:rPr>
                <w:rFonts w:hint="eastAsia" w:ascii="仿宋_GB2312" w:hAnsi="宋体" w:eastAsia="仿宋_GB2312" w:cs="仿宋_GB2312"/>
                <w:i w:val="0"/>
                <w:color w:val="000000"/>
                <w:spacing w:val="0"/>
                <w:kern w:val="0"/>
                <w:sz w:val="24"/>
                <w:szCs w:val="24"/>
                <w:highlight w:val="none"/>
                <w:u w:val="none"/>
                <w:lang w:val="en-US" w:eastAsia="zh-CN" w:bidi="ar-SA"/>
              </w:rPr>
              <w:t>等相关部门</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持续</w:t>
            </w:r>
          </w:p>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96—98</w:t>
            </w:r>
          </w:p>
        </w:tc>
        <w:tc>
          <w:tcPr>
            <w:tcW w:w="1125" w:type="dxa"/>
            <w:vMerge w:val="continue"/>
            <w:noWrap w:val="0"/>
            <w:vAlign w:val="center"/>
          </w:tcPr>
          <w:p>
            <w:pPr>
              <w:widowControl w:val="0"/>
              <w:jc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30" w:type="dxa"/>
            <w:noWrap w:val="0"/>
            <w:vAlign w:val="center"/>
          </w:tcPr>
          <w:p>
            <w:pPr>
              <w:keepNext w:val="0"/>
              <w:keepLines w:val="0"/>
              <w:widowControl/>
              <w:suppressLineNumbers w:val="0"/>
              <w:ind w:right="-92" w:rightChars="-44"/>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全省范围试点进一步完善企业简易注销登记改革</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优化企业简易注销登记。</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1.出台《福建省企业简易注销登记办法》。2.扩大企业简易注销适用范围，压缩企业简易注销公告时间至20天。3.探索建立企业简易注销容错机制。</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省市场</w:t>
            </w:r>
          </w:p>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监管局</w:t>
            </w:r>
          </w:p>
        </w:tc>
        <w:tc>
          <w:tcPr>
            <w:tcW w:w="1839"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省税务局、数字办、人社厅、</w:t>
            </w:r>
            <w:r>
              <w:rPr>
                <w:rStyle w:val="6"/>
                <w:rFonts w:hAnsi="宋体" w:eastAsia="仿宋_GB2312"/>
                <w:color w:val="000000"/>
                <w:spacing w:val="0"/>
                <w:sz w:val="24"/>
                <w:szCs w:val="24"/>
                <w:highlight w:val="none"/>
                <w:lang w:val="en-US" w:eastAsia="zh-CN" w:bidi="ar-SA"/>
              </w:rPr>
              <w:t>厦门市税务局</w:t>
            </w:r>
            <w:r>
              <w:rPr>
                <w:rFonts w:hint="eastAsia" w:ascii="仿宋_GB2312" w:hAnsi="宋体" w:eastAsia="仿宋_GB2312" w:cs="仿宋_GB2312"/>
                <w:i w:val="0"/>
                <w:color w:val="000000"/>
                <w:spacing w:val="0"/>
                <w:kern w:val="0"/>
                <w:sz w:val="24"/>
                <w:szCs w:val="24"/>
                <w:highlight w:val="none"/>
                <w:u w:val="none"/>
                <w:lang w:val="en-US" w:eastAsia="zh-CN" w:bidi="ar-SA"/>
              </w:rPr>
              <w:t>等相关部门</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99—100</w:t>
            </w:r>
          </w:p>
        </w:tc>
        <w:tc>
          <w:tcPr>
            <w:tcW w:w="1125"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十一、保护中小投资者权益</w:t>
            </w: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降低维权成本</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提升纠纷化解服务能力。</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1.开展投资者保护专项行动，指导辖区行业协会、市场主体通过线上线下多种形式，宣传证券期货矛盾纠纷多元化解政策。2.推动辖区调解组织积极为投资者提供纠纷调解服务。</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福建证监局、厦门</w:t>
            </w:r>
          </w:p>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证监局</w:t>
            </w:r>
          </w:p>
        </w:tc>
        <w:tc>
          <w:tcPr>
            <w:tcW w:w="1839" w:type="dxa"/>
            <w:vMerge w:val="restart"/>
            <w:noWrap w:val="0"/>
            <w:vAlign w:val="center"/>
          </w:tcPr>
          <w:p>
            <w:pPr>
              <w:keepNext w:val="0"/>
              <w:keepLines w:val="0"/>
              <w:widowControl/>
              <w:suppressLineNumbers w:val="0"/>
              <w:ind w:firstLine="480" w:firstLineChars="200"/>
              <w:jc w:val="left"/>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省法院</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持续</w:t>
            </w:r>
          </w:p>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101—102</w:t>
            </w:r>
          </w:p>
        </w:tc>
        <w:tc>
          <w:tcPr>
            <w:tcW w:w="1125" w:type="dxa"/>
            <w:vMerge w:val="continue"/>
            <w:noWrap w:val="0"/>
            <w:vAlign w:val="center"/>
          </w:tcPr>
          <w:p>
            <w:pPr>
              <w:widowControl w:val="0"/>
              <w:jc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畅通维权渠道</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加强中小投资者法制保障，完善社会维权体系，提供多元维权渠道。</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1.及时发布典型案例或司法白皮书，为股东特别是中小股东权益保护明确审判指引和行为规范。2.加强证券期货投资者教育，宣传证券期货维权渠道，指导辖区行业协会完善矛盾纠纷多元化解机制。</w:t>
            </w:r>
          </w:p>
        </w:tc>
        <w:tc>
          <w:tcPr>
            <w:tcW w:w="1326" w:type="dxa"/>
            <w:vMerge w:val="continue"/>
            <w:noWrap w:val="0"/>
            <w:vAlign w:val="center"/>
          </w:tcPr>
          <w:p>
            <w:pPr>
              <w:widowControl w:val="0"/>
              <w:jc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1839" w:type="dxa"/>
            <w:vMerge w:val="continue"/>
            <w:noWrap w:val="0"/>
            <w:vAlign w:val="center"/>
          </w:tcPr>
          <w:p>
            <w:pPr>
              <w:widowControl w:val="0"/>
              <w:jc w:val="left"/>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持续</w:t>
            </w:r>
          </w:p>
          <w:p>
            <w:pPr>
              <w:keepNext w:val="0"/>
              <w:keepLines w:val="0"/>
              <w:widowControl/>
              <w:suppressLineNumbers w:val="0"/>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103</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十一、保护中小投资者权益</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加强</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监管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规范上市公司运作，强化信息披露，保障中小投资者权益。</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构建立体化、动态化的上市公司风险监测体系，督促上市公司严格执行信息披露制度。</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福建证监局、厦门</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证监局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ind w:firstLine="480" w:firstLineChars="200"/>
              <w:jc w:val="left"/>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省法院</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104—108</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十二、就业保障</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优化从业条件</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降低部分行业从业要求，简化相关手续。</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清理对职业资格培训和技能培训类民办学校在管理人员从业经验、培训工种数量等方面设定的不合理要求。2.完善台湾地区医师、导游等9类职业资格直接采认工作，直接开展相应业务，享受对应职业资格同等待遇。3.落实道路普通货物运输驾驶员从业资格考试制度改革，简化从业资格证申领手续。4.取消执业兽医注册，取得执业兽医资格的人员备案即可从事动物诊疗等经营活动。5.对非公单位接收应届高校毕业生，取消由所在地公共就业人才服务机构在就业协议书上签章的环节。</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省人社厅、交通运输厅、农业农村厅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省卫健委、文旅厅、自然资源厅、教育厅</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109</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压减</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时间</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企业实行不定时工作制和综合计算工时工作制审批办理时限由法定20个工作日压缩至5个工作日内；企业经济性裁员报告办理时限由法定20个工作日压缩至5个工作日内。</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推行事项办理标准化，发布标准化目录，设定办理时限引领标准。</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110—111</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十二、就业保障</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提升服务质量</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促进灵活就业。</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1.加强用工余缺信息归集与共享,引导企业开展“共享用工”。2.合理设定流动摊贩经营场所，明确“摊规点”准入要求，引导从业人员进摊入点、规范经营。</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省人社厅、住建厅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省市场监管局</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112</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推进社会化职称评审。</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依托具备较强服务能力和水平的专业化人才服务机构、行业协会学会等社会组织，组建社会化评审机构，对专业性强、社会通用范围广、标准化程度高的职称系列，开展社会化评审。</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113—115</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健全劳动力市场调解与仲裁衔接机制。</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推广德化县劳动人事争议仲裁与城乡社区网格化服务管理平台合作经验，破解仲裁文书送达难问题。2.积极对接邮政速递，探索仲裁文书、一次性告知集约化送达。3.积极推进“智慧调解仲裁”信息系统建设，研发网上接受仲裁申请功能。</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116</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建设较为完备的劳动争议调解组织。</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推动各地在2个以上园区建立劳动争议调解组织。</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省司法厅</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117</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建立健全劳动者权益保障预警处置机制。</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优化福建省劳动监测预警和智慧就业大数据平台，并在全省推广，通过大数据预警，精准提示欠薪隐患。</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省住建厅、市场监管局、金融监管局、税务局、</w:t>
            </w:r>
            <w:r>
              <w:rPr>
                <w:rStyle w:val="6"/>
                <w:rFonts w:hAnsi="宋体" w:eastAsia="仿宋_GB2312"/>
                <w:color w:val="000000"/>
                <w:sz w:val="24"/>
                <w:szCs w:val="24"/>
                <w:highlight w:val="none"/>
                <w:lang w:val="en-US" w:eastAsia="zh-CN" w:bidi="ar-SA"/>
              </w:rPr>
              <w:t>厦门市税务局</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118</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十三、政府采购</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加强平台建设</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实现在线信用评价和远程电子开标，异地电子评审。</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实现采购代理机构、评审专家执业及信用情况在线评价，促进采购代理机构、评审专家提升专业化能力。</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省财政厅</w:t>
            </w: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119—120</w:t>
            </w: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1.完善政府采购网上公开信息系统的电子开标、电子评审功能，实现远程电子开标、异地电子评审。2.建设电子保函服务模块，推广使用保函缴交保证金。</w:t>
            </w: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121—122</w:t>
            </w: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优化采购流程</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优化集中采购品目采购流程。</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1.规范统一全省集中采购目录，推动通用品目联合采购。2.完善集中采购项目采购规则，健全协议供货、定点采购及网上超市等管理措施，优化多频次、小额度采购流程及网上超市支付方式。</w:t>
            </w: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123</w:t>
            </w: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提升透明度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公开政府采购意向。</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除法律法规规定不予公开的情形外，对政府集中采购目录以内或者采购限额标准以上的货物、工程、服务采购公开采购意向，包括采购项目名称、采购需求概况、预算金额、预计采购时间等。</w:t>
            </w: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省内各级预算</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单位</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省本级预算单位2021年起公开，省级以下各级预算单位2022年起公开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124</w:t>
            </w:r>
          </w:p>
        </w:tc>
        <w:tc>
          <w:tcPr>
            <w:tcW w:w="1125"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十四、招标投标</w:t>
            </w:r>
          </w:p>
        </w:tc>
        <w:tc>
          <w:tcPr>
            <w:tcW w:w="930"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加强平台建设</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建设工程领域招投标在线监管平台。</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上线运行工程领域招投标在线监管平台，在住建、水利、交通、工业、渔港、信息化等领域项目推进招投标活动在线监管。</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w:t>
            </w: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125—127</w:t>
            </w:r>
          </w:p>
        </w:tc>
        <w:tc>
          <w:tcPr>
            <w:tcW w:w="1125"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推进公共资源交易平台建设。</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深入开展公共资源交易平台业绩评价，提高平台服务水平，提升交易效率。2.动态调整公共资源交易目录，实现目录内项目进驻平台交易。3.优化公共资源交易服务流程，精简管理事项和环节，不断提高公共资源交易服务事项网上办理比例。</w:t>
            </w:r>
          </w:p>
        </w:tc>
        <w:tc>
          <w:tcPr>
            <w:tcW w:w="1326"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各公共资源交易行业监管部门</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128—130</w:t>
            </w:r>
          </w:p>
        </w:tc>
        <w:tc>
          <w:tcPr>
            <w:tcW w:w="1125"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完善交易规则</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统一工程领域招投标行业交易规则。</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Fonts w:hint="eastAsia" w:ascii="仿宋_GB2312" w:hAnsi="宋体" w:eastAsia="仿宋_GB2312" w:cs="仿宋_GB2312"/>
                <w:i w:val="0"/>
                <w:color w:val="000000"/>
                <w:spacing w:val="-6"/>
                <w:kern w:val="0"/>
                <w:sz w:val="24"/>
                <w:szCs w:val="24"/>
                <w:highlight w:val="none"/>
                <w:u w:val="none"/>
                <w:lang w:val="en-US" w:eastAsia="zh-CN" w:bidi="ar-SA"/>
              </w:rPr>
              <w:t xml:space="preserve">    1.各行业主管部门完善工程领域招投标交易规则、电子范本和监督规则。2.探索建立“评定分离”等制度，强化招标人自主权。3.推动修订完善《福建省招标投标条例》。</w:t>
            </w:r>
          </w:p>
        </w:tc>
        <w:tc>
          <w:tcPr>
            <w:tcW w:w="1326"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131—133</w:t>
            </w:r>
          </w:p>
        </w:tc>
        <w:tc>
          <w:tcPr>
            <w:tcW w:w="1125"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推行全流程电子化招投标</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依法公开招标的工程建设项目全部实现全流程电子化交易。</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1.推行“不见面开标”、远程异地评标。2.推动各地公共资源交易平台电子招投标范本固化。3.优化评标专家终端抽取系统，建设评标专家统一电子签名系统、评标费用电子结算系统。</w:t>
            </w:r>
          </w:p>
        </w:tc>
        <w:tc>
          <w:tcPr>
            <w:tcW w:w="1326"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widowControl w:val="0"/>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134—135</w:t>
            </w:r>
          </w:p>
        </w:tc>
        <w:tc>
          <w:tcPr>
            <w:tcW w:w="1125"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十五、政务服务</w:t>
            </w:r>
          </w:p>
        </w:tc>
        <w:tc>
          <w:tcPr>
            <w:tcW w:w="930"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推行行政审批标准化规范化</w:t>
            </w:r>
          </w:p>
        </w:tc>
        <w:tc>
          <w:tcPr>
            <w:tcW w:w="2205" w:type="dxa"/>
            <w:vMerge w:val="restart"/>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实现全省行政审批服务事项“五级十五同”，同一审批服务事项无差别受理、同标准办理。</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1.依照“五级十五同”标准，调整更新办事指南。2.对部分暂未统一标准的共性事项规范统一事项办理的引领标准。</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    数字办</w:t>
            </w:r>
          </w:p>
        </w:tc>
        <w:tc>
          <w:tcPr>
            <w:tcW w:w="183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省有关部门</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136—137</w:t>
            </w:r>
          </w:p>
        </w:tc>
        <w:tc>
          <w:tcPr>
            <w:tcW w:w="1125"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vMerge w:val="continue"/>
            <w:noWrap w:val="0"/>
            <w:vAlign w:val="center"/>
          </w:tcPr>
          <w:p>
            <w:pPr>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1.按标准完成各部门审批自建系统标准化改造。2.建立《市场准入负面清单》与“五级十五同”有关涉企行政许可事项的对应关系，进一步规范市场准入。</w:t>
            </w:r>
          </w:p>
        </w:tc>
        <w:tc>
          <w:tcPr>
            <w:tcW w:w="1326"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省有关部门</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138</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十五、政务服务</w:t>
            </w:r>
          </w:p>
        </w:tc>
        <w:tc>
          <w:tcPr>
            <w:tcW w:w="930"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推行行政审批标准化规范化</w:t>
            </w:r>
          </w:p>
        </w:tc>
        <w:tc>
          <w:tcPr>
            <w:tcW w:w="2205" w:type="dxa"/>
            <w:vMerge w:val="restart"/>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实现全省行政审批服务事项“五级十五同”，同一审批服务事项无差别受理、同标准办理。</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按标准调整规范权责清单、行政审批中介服务事项清单等。</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    数字办</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139</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930" w:type="dxa"/>
            <w:vMerge w:val="continue"/>
            <w:noWrap w:val="0"/>
            <w:vAlign w:val="top"/>
          </w:tcPr>
          <w:p>
            <w:pPr>
              <w:keepNext w:val="0"/>
              <w:keepLines w:val="0"/>
              <w:pageBreakBefore w:val="0"/>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2205" w:type="dxa"/>
            <w:vMerge w:val="continue"/>
            <w:noWrap w:val="0"/>
            <w:vAlign w:val="top"/>
          </w:tcPr>
          <w:p>
            <w:pPr>
              <w:keepNext w:val="0"/>
              <w:keepLines w:val="0"/>
              <w:pageBreakBefore w:val="0"/>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进一步细化优化“五级十五同”审查要点标准，提升审查要点实际应用成效。</w:t>
            </w:r>
          </w:p>
        </w:tc>
        <w:tc>
          <w:tcPr>
            <w:tcW w:w="1326"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140</w:t>
            </w:r>
          </w:p>
        </w:tc>
        <w:tc>
          <w:tcPr>
            <w:tcW w:w="1125" w:type="dxa"/>
            <w:vMerge w:val="continue"/>
            <w:noWrap w:val="0"/>
            <w:vAlign w:val="top"/>
          </w:tcPr>
          <w:p>
            <w:pPr>
              <w:keepNext w:val="0"/>
              <w:keepLines w:val="0"/>
              <w:pageBreakBefore w:val="0"/>
              <w:kinsoku/>
              <w:wordWrap/>
              <w:overflowPunct/>
              <w:topLinePunct w:val="0"/>
              <w:autoSpaceDE/>
              <w:autoSpaceDN/>
              <w:bidi w:val="0"/>
              <w:adjustRightInd/>
              <w:snapToGrid/>
              <w:spacing w:line="330" w:lineRule="exact"/>
              <w:rPr>
                <w:rFonts w:ascii="Calibri" w:hAnsi="Calibri" w:eastAsia="仿宋_GB2312" w:cs="Times New Roman"/>
                <w:kern w:val="2"/>
                <w:sz w:val="21"/>
                <w:szCs w:val="24"/>
                <w:vertAlign w:val="baseline"/>
                <w:lang w:val="en-US" w:eastAsia="zh-CN" w:bidi="ar-SA"/>
              </w:rPr>
            </w:pP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提升政务服务便利度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推广“省内通办”。</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复制推广厦漳泉三地探索试点的“异地代收代办”省内通办服务模式。</w:t>
            </w:r>
          </w:p>
        </w:tc>
        <w:tc>
          <w:tcPr>
            <w:tcW w:w="1326"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141—142</w:t>
            </w: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提升行政服务大厅服务水平。</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1.加强各级政务服务大厅综合窗口建设，提升综合窗口服务能级。2.具备条件的线下服务大厅提供远程在线服务，探索“智能政务服务窗口”建设。</w:t>
            </w: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143</w:t>
            </w:r>
          </w:p>
        </w:tc>
        <w:tc>
          <w:tcPr>
            <w:tcW w:w="112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建立外商投资“一站式”服务体系。</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支持有条件的市、县（区）建立外商投资“一站式”服务体系，联通相关部门信息系统，实现外资企业一次登录、一次认证、一次提交材料，即可办理企业注册、预约开户、外汇登记等高频事项。</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省商务厅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省市场监管局、人行福州中心支行等相关部门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80"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144—146</w:t>
            </w: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推动惠企政策落地落实。</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Fonts w:hint="eastAsia" w:ascii="仿宋_GB2312" w:hAnsi="宋体" w:eastAsia="仿宋_GB2312" w:cs="仿宋_GB2312"/>
                <w:i w:val="0"/>
                <w:color w:val="000000"/>
                <w:spacing w:val="-6"/>
                <w:kern w:val="0"/>
                <w:sz w:val="24"/>
                <w:szCs w:val="24"/>
                <w:highlight w:val="none"/>
                <w:u w:val="none"/>
                <w:lang w:val="en-US" w:eastAsia="zh-CN" w:bidi="ar-SA"/>
              </w:rPr>
              <w:t xml:space="preserve">    1.推行惠企政策“免申即享”。2.完善帮办代办机制，在各级政务服务大厅开设惠企“政策兑现”代办服务窗口，为企业提供政策兑现“一门式”办理服务。探索“上门办”主动服务。3.提升“政企直通车”惠企政策统一发布平台服务效能，各涉企单位定期向平台推送涉企政策、相关政务信息，为企业提供跨部门、跨行业、跨地区的惠企政策服务。</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     工信厅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147—148</w:t>
            </w:r>
          </w:p>
        </w:tc>
        <w:tc>
          <w:tcPr>
            <w:tcW w:w="1125"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十五、政务服务</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提升政务服务便利度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推动惠企政策落地落实。</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推广将乐县人策匹配机器人试点成果，对企业群众的政策需求精准画像，与政策批量匹配，让人找政策变为政策找人。2.推广“三张清单”“十二个步骤”政策落实工作机制，将落实政策的步骤流程化，提高制定政策的科学性、准确性。</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w:t>
            </w:r>
          </w:p>
        </w:tc>
        <w:tc>
          <w:tcPr>
            <w:tcW w:w="1839" w:type="dxa"/>
            <w:noWrap w:val="0"/>
            <w:vAlign w:val="center"/>
          </w:tcPr>
          <w:p>
            <w:pPr>
              <w:widowControl w:val="0"/>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149</w:t>
            </w:r>
          </w:p>
        </w:tc>
        <w:tc>
          <w:tcPr>
            <w:tcW w:w="1125" w:type="dxa"/>
            <w:vMerge w:val="continue"/>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提升网上政务服务</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能力</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提高“一趟不用跑”事项比例至70%以上。</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在全省政务服务事项标准化基础上，结合疫情防控，运用全程网办、邮寄办方式，推动政务服务“一趟不用跑”。</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    数字办</w:t>
            </w:r>
          </w:p>
        </w:tc>
        <w:tc>
          <w:tcPr>
            <w:tcW w:w="1839" w:type="dxa"/>
            <w:noWrap w:val="0"/>
            <w:vAlign w:val="center"/>
          </w:tcPr>
          <w:p>
            <w:pPr>
              <w:widowControl w:val="0"/>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150—151</w:t>
            </w:r>
          </w:p>
        </w:tc>
        <w:tc>
          <w:tcPr>
            <w:tcW w:w="1125"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集成优化政务网络和政务网站。</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将现有政务信息网、政务外网、无线政务专网、政务内网整合为上下贯通、横向到边的政务信息网和政务内网“两张网”，实行统一运维管理。2.依托“中国福建”门户网站，建设政务服务“一张网”总门户，实现“对外好办事，对内好办公”。</w:t>
            </w:r>
          </w:p>
        </w:tc>
        <w:tc>
          <w:tcPr>
            <w:tcW w:w="1326"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widowControl w:val="0"/>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152—155</w:t>
            </w:r>
          </w:p>
        </w:tc>
        <w:tc>
          <w:tcPr>
            <w:tcW w:w="1125"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拓展“互联网+”应用。</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将“八闽健康码”升级为“福建码”，整合民生服务资源，构建体育场馆运动健身、景区预约购票、医院就医、酒店住宿、图书借阅、交通出行和养老服务等高频场景应用。2.推动教育、养老、托育、家政等社会服务数字化、网络化、智能化，打造一批具有全国影响力的“互联网+社会服务”平台。3.实施县域医疗卫生信息服务能力提升工程（二期）。4.建设国家文化大数据体系（福建）和龙岩红色基因数字化传承基地。</w:t>
            </w:r>
          </w:p>
        </w:tc>
        <w:tc>
          <w:tcPr>
            <w:tcW w:w="1326"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省文旅厅、教育厅、公安厅、卫健委、交通运输厅、民政厅、体育局、医保局等相关部门</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156—163</w:t>
            </w:r>
          </w:p>
        </w:tc>
        <w:tc>
          <w:tcPr>
            <w:tcW w:w="11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十五、政务服务</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提升网上政务服务</w:t>
            </w:r>
          </w:p>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能力</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提升网上办事便利度。</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优化省网上办事大厅，推进共享云表单系统建设。建设全省政务服务自助终端通办平台，拓展自助服务事项入驻范围，推广部署便民服务自助站点。2.优化升级“闽政通”APP。建设统一政务服务APP开放式应用平台，推动各级各部门已建APP和第三方平台公众号、小程序等以“政务小程序”方式入驻。3.推动部分高频事项试点远程身份核验。4.加快推进政务服务跨区域通办，推动137项高频“跨省通办”事项梳理和入驻省网上办事大厅。建设全省异地通办服务系统，建设智能引导系统、老年人办事服务平台。5.建设政务服务应用管理中心，规范自建政务服务系统与省网上办事大厅对接,提升“一网通办”用户体验。6.加快完善“一件事”集成套餐服务系统，研究确立省级“一件事”集成套餐服务改革工作标准，再推出一批集成套餐服务事项，逐步实现与企业群众生产生活密切相关的重点领域和高频事项全覆盖，并实行动态管理。7.建设统一业务协同平台，完善社会用户实名认证和授权平台，建立全省统一电子签名体系。8.对于省级政府部门核发的新增材料、新归集电子证照，一律纳入“免于提交”范围。</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省发改委、数字办</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3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164—165</w:t>
            </w:r>
          </w:p>
        </w:tc>
        <w:tc>
          <w:tcPr>
            <w:tcW w:w="1125"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十五、政务服务</w:t>
            </w: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提升网上政务服务</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能力</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完善“好差评”制度。</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 xml:space="preserve">    1.完善政务服务“一次一评”“一事一评”工作规范，推进评价和回复公开，健全“差评”问题和投诉问题调查核实、督促整改和反馈机制。2.完善政务服务“好差评”评价方式，全面推行以离场评价和线上评价为主的评价方式，方便服务对象进行评价。</w:t>
            </w:r>
            <w:r>
              <w:rPr>
                <w:rStyle w:val="10"/>
                <w:rFonts w:eastAsia="仿宋_GB2312"/>
                <w:color w:val="000000"/>
                <w:sz w:val="24"/>
                <w:szCs w:val="24"/>
                <w:highlight w:val="none"/>
                <w:lang w:val="en-US" w:eastAsia="zh-CN" w:bidi="ar-SA"/>
              </w:rPr>
              <w:t> </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w:t>
            </w:r>
          </w:p>
        </w:tc>
        <w:tc>
          <w:tcPr>
            <w:tcW w:w="1839" w:type="dxa"/>
            <w:noWrap w:val="0"/>
            <w:vAlign w:val="center"/>
          </w:tcPr>
          <w:p>
            <w:pPr>
              <w:widowControl w:val="0"/>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166</w:t>
            </w:r>
          </w:p>
        </w:tc>
        <w:tc>
          <w:tcPr>
            <w:tcW w:w="1125" w:type="dxa"/>
            <w:vMerge w:val="continue"/>
            <w:noWrap w:val="0"/>
            <w:vAlign w:val="center"/>
          </w:tcPr>
          <w:p>
            <w:pPr>
              <w:widowControl w:val="0"/>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建立常态化体验机制</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加强政务服务体验。</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组建第三方体验团队，采用“线上平台数据、群众体验、横向比较”三种方式，线上线下开展政务服务体验，发现问题及时改进。</w:t>
            </w:r>
          </w:p>
        </w:tc>
        <w:tc>
          <w:tcPr>
            <w:tcW w:w="132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监管局</w:t>
            </w:r>
          </w:p>
        </w:tc>
        <w:tc>
          <w:tcPr>
            <w:tcW w:w="1839" w:type="dxa"/>
            <w:noWrap w:val="0"/>
            <w:vAlign w:val="center"/>
          </w:tcPr>
          <w:p>
            <w:pPr>
              <w:widowControl w:val="0"/>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jc w:val="center"/>
              <w:rPr>
                <w:rFonts w:ascii="Calibri" w:hAnsi="Calibri" w:eastAsia="仿宋_GB2312" w:cs="Times New Roman"/>
                <w:kern w:val="2"/>
                <w:sz w:val="21"/>
                <w:szCs w:val="24"/>
                <w:vertAlign w:val="baseli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167—169</w:t>
            </w:r>
          </w:p>
        </w:tc>
        <w:tc>
          <w:tcPr>
            <w:tcW w:w="1125" w:type="dxa"/>
            <w:vMerge w:val="continue"/>
            <w:noWrap w:val="0"/>
            <w:vAlign w:val="top"/>
          </w:tcPr>
          <w:p>
            <w:pPr>
              <w:rPr>
                <w:rFonts w:ascii="Calibri" w:hAnsi="Calibri" w:eastAsia="仿宋_GB2312" w:cs="Times New Roman"/>
                <w:kern w:val="2"/>
                <w:sz w:val="21"/>
                <w:szCs w:val="24"/>
                <w:vertAlign w:val="baseline"/>
                <w:lang w:val="en-US" w:eastAsia="zh-CN" w:bidi="ar-SA"/>
              </w:rPr>
            </w:pPr>
          </w:p>
        </w:tc>
        <w:tc>
          <w:tcPr>
            <w:tcW w:w="930"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加强数据信息互联</w:t>
            </w:r>
          </w:p>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互通</w:t>
            </w:r>
          </w:p>
        </w:tc>
        <w:tc>
          <w:tcPr>
            <w:tcW w:w="220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省政务数据汇聚共享平台汇聚有效数据300亿条。</w:t>
            </w:r>
          </w:p>
        </w:tc>
        <w:tc>
          <w:tcPr>
            <w:tcW w:w="4665"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人口户籍、身份证、机动车、非正常死亡等数据，及时向省政务数据汇聚共享平台公安分节点汇聚更新。2.个人和企业纳税明细数据、公积金数据、不动产登记数据、出生医学证明及个人健康数据及时向省政务数据汇聚共享平台汇聚更新。3.建立政务数据汇聚保障机制和基础数据更新联动机制。依托省业务协同平台，加强省级部门业务系统与设区市行政审批系统对接，实现省直部门政务服务办件与各级部门政务服务事项自动关联。加快各领域业务系统与省业务协同平台的对接。</w:t>
            </w:r>
          </w:p>
        </w:tc>
        <w:tc>
          <w:tcPr>
            <w:tcW w:w="1326" w:type="dxa"/>
            <w:vMerge w:val="restart"/>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省数字办</w:t>
            </w:r>
          </w:p>
        </w:tc>
        <w:tc>
          <w:tcPr>
            <w:tcW w:w="1839" w:type="dxa"/>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省公安厅、税务局、住建厅、自然资源厅、卫健委、厦门市税务局等相关部门</w:t>
            </w:r>
          </w:p>
        </w:tc>
        <w:tc>
          <w:tcPr>
            <w:tcW w:w="9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170</w:t>
            </w:r>
          </w:p>
        </w:tc>
        <w:tc>
          <w:tcPr>
            <w:tcW w:w="112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noWrap w:val="0"/>
            <w:vAlign w:val="center"/>
          </w:tcPr>
          <w:p>
            <w:pPr>
              <w:keepNext w:val="0"/>
              <w:keepLines w:val="0"/>
              <w:widowControl/>
              <w:suppressLineNumbers w:val="0"/>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政务服务全面共享应用电子证照和政务数据。</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各有关部门梳理政务服务事项所需共享证照类型和数据，在事项办理过程中按规定流程共享数据。</w:t>
            </w: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171—173</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十六、知识产权创造、保护和运用</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提升知识产权创造</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能力</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提高知识产权公共服务水平，集聚资源要素，增强产业自主知识产权竞争力。</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1.实施产业自主知识产权竞争力提升领航计划。2.加强“知创福建”公共服务平台建设，实现全省覆盖。3.推广“最多跑一地”知识产权公共服务创新范式。</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174—176</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加强知识产权保护</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提升知识产权保护能力和效力。</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建立中国（福建）知识产权保护中心，升级建设全省知识产权保护智慧案管平台及大数据中心。2.建立执法联动协作机制，健全侵权惩罚性赔偿制度，完善行政执法与刑事司法衔接机制。3.探索建设覆盖省、市、县三级知识产权协同保护体系。</w:t>
            </w:r>
          </w:p>
        </w:tc>
        <w:tc>
          <w:tcPr>
            <w:tcW w:w="13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省公安厅、法院、检察院等相关部门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177—178</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提升申请便</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利度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优化专利受理与审查流程。</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Fonts w:hint="eastAsia" w:ascii="仿宋_GB2312" w:hAnsi="宋体" w:eastAsia="仿宋_GB2312" w:cs="仿宋_GB2312"/>
                <w:i w:val="0"/>
                <w:color w:val="000000"/>
                <w:spacing w:val="-6"/>
                <w:kern w:val="0"/>
                <w:sz w:val="24"/>
                <w:szCs w:val="24"/>
                <w:highlight w:val="none"/>
                <w:u w:val="none"/>
                <w:lang w:val="en-US" w:eastAsia="zh-CN" w:bidi="ar-SA"/>
              </w:rPr>
              <w:t xml:space="preserve">    1.推进专利商标受理窗口整合，实现同一地点办公、同一窗口受理，“一窗通办”。2. 压缩专利优先审查推荐时限至5个工作日内。</w:t>
            </w:r>
          </w:p>
        </w:tc>
        <w:tc>
          <w:tcPr>
            <w:tcW w:w="13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179—180</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十七、市场监管</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完善“双随机、一公开”监管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推行“双随机、一公开”一体化监管，“一站式”抽查。</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1.健全全省统一的“双随机、一公开”跨部门联合监管工作平台。2.建立健全覆盖省、市、县三级的综合性检查对象和执法检查人员名录库，动态更新维护。</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省市场</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省各成员单位</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181—182</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加强重点监管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对直接涉及公共安全和人民群众生命健康等特殊行业、重点领域，依法依规实行全覆盖的重点监管。</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1.注重源头防范，加强食品安全综合治理。2.强化药品安全全程监管和医疗器械监管，提高特种设备安全隐患排查治理能力，建立健全风险防范和追溯体系。</w:t>
            </w:r>
          </w:p>
        </w:tc>
        <w:tc>
          <w:tcPr>
            <w:tcW w:w="13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省药监局、卫健委等相关部门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183—185</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十七、市场监管</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实行包容审慎监管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Style w:val="6"/>
                <w:rFonts w:hAnsi="宋体" w:eastAsia="仿宋_GB2312"/>
                <w:color w:val="000000"/>
                <w:spacing w:val="0"/>
                <w:sz w:val="24"/>
                <w:szCs w:val="24"/>
                <w:highlight w:val="none"/>
                <w:lang w:val="en-US" w:eastAsia="zh-CN" w:bidi="ar-SA"/>
              </w:rPr>
              <w:t>对新技术、新产业、新业态、新模式等实行包容审慎监管。</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11"/>
                <w:kern w:val="2"/>
                <w:sz w:val="24"/>
                <w:szCs w:val="24"/>
                <w:highlight w:val="none"/>
                <w:u w:val="none"/>
                <w:lang w:val="en-US" w:eastAsia="zh-CN" w:bidi="ar-SA"/>
              </w:rPr>
            </w:pPr>
            <w:r>
              <w:rPr>
                <w:rFonts w:hint="eastAsia" w:ascii="仿宋_GB2312" w:hAnsi="宋体" w:eastAsia="仿宋_GB2312" w:cs="仿宋_GB2312"/>
                <w:i w:val="0"/>
                <w:color w:val="000000"/>
                <w:spacing w:val="-11"/>
                <w:kern w:val="0"/>
                <w:sz w:val="24"/>
                <w:szCs w:val="24"/>
                <w:highlight w:val="none"/>
                <w:u w:val="none"/>
                <w:lang w:val="en-US" w:eastAsia="zh-CN" w:bidi="ar-SA"/>
              </w:rPr>
              <w:t xml:space="preserve">    1.出台包容审慎监管指导意见，针对新产业新业态的性质、特点，分类实施相应的监管规则和标准。2.探索开展“沙盒监管”、触发式监管等包容审慎监管试点。3.研究制定市场主体初次轻微违法经营行为不予行政处罚清单。</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省市场</w:t>
            </w:r>
          </w:p>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省司法厅</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186—187</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加强信用监管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依法界定失信信息纳入范围、认定严重失信名单，按国家统一的失信惩戒措施清单对失信主体实施联合惩戒。</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1.全面清理规范各级各类失信约束措施，缺乏法律法规和党中央、国务院文件依据的一律停止执行。2.推进省级信用立法，提高信用监管的法治化、规范化水平，纠正和防止失信惩戒措施泛化滥用。</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省发改委、人行福州中心支行、省市场监管局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省社会信用体系建设工作领导小组各成员单位</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2021年11月底前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188</w:t>
            </w:r>
          </w:p>
        </w:tc>
        <w:tc>
          <w:tcPr>
            <w:tcW w:w="112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完善“互联网+监管”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加强监管信息归集共享，推行非现场监管。</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依托“互联网+监管”系统，加强政府履职过程中形成的行政检查、行政处罚、行政强制等信息与司法判决、违法失信、抽查抽检等信息关联整合，加强风险跟踪预警。</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省审改办、市场监管局、司法厅、数字办</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189—190</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推行协同监管</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集中行使监管、执法职权，提高工作质效。</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1.建立健全跨地域、跨层级、跨部门的执法联动响应和协作机制，实现违法线索互联、监管标准互通、处理结果互认。2.将针对同一对象的多个检查事项合并或者纳入跨部门联合检查范围。</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省市场</w:t>
            </w:r>
          </w:p>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监管局</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191</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22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10" w:lineRule="exact"/>
              <w:jc w:val="both"/>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 xml:space="preserve">    推进综合行政执法改革，整合相关行政执法机构和职能，提高基层执法能力。</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仿宋_GB2312" w:hAnsi="宋体" w:eastAsia="仿宋_GB2312" w:cs="仿宋_GB2312"/>
                <w:i w:val="0"/>
                <w:color w:val="000000"/>
                <w:spacing w:val="-17"/>
                <w:w w:val="97"/>
                <w:kern w:val="21"/>
                <w:sz w:val="24"/>
                <w:szCs w:val="24"/>
                <w:highlight w:val="none"/>
                <w:u w:val="none"/>
                <w:lang w:val="en-US" w:eastAsia="zh-CN" w:bidi="ar-SA"/>
              </w:rPr>
            </w:pPr>
            <w:r>
              <w:rPr>
                <w:rFonts w:hint="eastAsia" w:ascii="仿宋_GB2312" w:hAnsi="宋体" w:eastAsia="仿宋_GB2312" w:cs="仿宋_GB2312"/>
                <w:i w:val="0"/>
                <w:color w:val="000000"/>
                <w:spacing w:val="-17"/>
                <w:w w:val="97"/>
                <w:kern w:val="21"/>
                <w:sz w:val="24"/>
                <w:szCs w:val="24"/>
                <w:highlight w:val="none"/>
                <w:u w:val="none"/>
                <w:lang w:val="en-US" w:eastAsia="zh-CN" w:bidi="ar-SA"/>
              </w:rPr>
              <w:t>由涉及综合行政执法改革的五大执法领域主管部门按照各自职责分工分别牵头负责</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10" w:lineRule="exact"/>
              <w:jc w:val="left"/>
              <w:rPr>
                <w:rFonts w:hint="eastAsia" w:ascii="仿宋_GB2312" w:hAnsi="宋体" w:eastAsia="仿宋_GB2312" w:cs="仿宋_GB2312"/>
                <w:i w:val="0"/>
                <w:color w:val="000000"/>
                <w:spacing w:val="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spacing w:val="0"/>
                <w:kern w:val="0"/>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i w:val="0"/>
                <w:color w:val="000000"/>
                <w:spacing w:val="0"/>
                <w:kern w:val="2"/>
                <w:sz w:val="24"/>
                <w:szCs w:val="24"/>
                <w:highlight w:val="none"/>
                <w:u w:val="none"/>
                <w:lang w:val="en-US" w:eastAsia="zh-CN" w:bidi="ar-SA"/>
              </w:rPr>
            </w:pPr>
            <w:r>
              <w:rPr>
                <w:rFonts w:hint="eastAsia" w:ascii="仿宋_GB2312" w:hAnsi="宋体" w:eastAsia="仿宋_GB2312" w:cs="仿宋_GB2312"/>
                <w:i w:val="0"/>
                <w:color w:val="000000"/>
                <w:spacing w:val="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192—197</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十八、包容普惠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创新</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提升创新创业活跃度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提升国家双创示范基地等载体功能，营造有利于创新创业创造的良好氛围。</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Fonts w:hint="eastAsia" w:ascii="仿宋_GB2312" w:hAnsi="宋体" w:eastAsia="仿宋_GB2312" w:cs="仿宋_GB2312"/>
                <w:i w:val="0"/>
                <w:color w:val="000000"/>
                <w:spacing w:val="-6"/>
                <w:kern w:val="0"/>
                <w:sz w:val="24"/>
                <w:szCs w:val="24"/>
                <w:highlight w:val="none"/>
                <w:u w:val="none"/>
                <w:lang w:val="en-US" w:eastAsia="zh-CN" w:bidi="ar-SA"/>
              </w:rPr>
              <w:t xml:space="preserve">    1.发挥9个国家双创示范基地的示范带动作用，培育创新创业生态、建设创新创业支撑平台、打造“众创空间—孵化器—加速器—产业园”成长链条。2.办好“双创活动周”“创响中国”“互联网+”大学生创新创业大赛等系列活动。3.实施优质创新企业培育行动，培育创新龙头企业和“独角兽”“瞪羚”企业。4.研究制定企业重大科技成果购买和技术转移服务机构补助管理细则，出台促进高校和科研机构科技成果转化及产业化的措施，加大科技成果转移转化支持力度。5.推进海峡技术转移公共服务平台、双创云平台等科技成果信息平台建设，汇集各类科技成果信息和技术需求，培育技术转移服务机构，壮大技术转移人才队伍。6.优化科技企业孵化器、众创空间及其在孵企业的认定或备案条件，落实创业服务机构奖补优惠政策。</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     科技厅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省教育厅、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数字办</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198—200</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提升市场开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放度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进一步降低市场    准入门槛。</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1.贯彻落实国家最新市场准入负面清单，落实“全国一张清单”管理模式。2.执行新修订的鼓励外商投资产业目录，进一步扩大外商投资范围。3.制定发布我省外商投资指引，便利外国投资者来闽投资。</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省发改委、     商务厅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省有关部门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持续</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201—205</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十八、包容普惠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创新</w:t>
            </w: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加大人才培育引进</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力度</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各项人才政策落地见效，确保高质量人才引得来、留得住、用得上。</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1.完善省级高层次人才认定和支持政策，落实用人单位自主认定条款。2.制定实施海外优秀青年来闽学术交流计划，吸引海外优秀人才来闽创新创业。3.实施省引才“百人计划”，加强产业领军团队、产学研联合创新团队、特级后备人才、“雏鹰计划”青年拔尖人才、“创业之星”“创新之星”人才培养和遴选。4.深化校地人才交流合作，选派优秀年轻干部到高校交流挂职，办好第五届“人才福建周”。5.组织开展涉外高端律师专项培训工作，遴选涉外律师人才入库，充实涉外律师人才库。</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省委人才办、省司</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法厅</w:t>
            </w:r>
          </w:p>
        </w:tc>
        <w:tc>
          <w:tcPr>
            <w:tcW w:w="18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省人社厅、工信厅、科技厅、教育厅、卫健委、国资委、科协等相关部门</w:t>
            </w: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206</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优化社保服务</w:t>
            </w:r>
          </w:p>
        </w:tc>
        <w:tc>
          <w:tcPr>
            <w:tcW w:w="22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提升涉企社保高频服务事项办理便利度。</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积极推进“全程网办”，优化企业职工基本养老保险关系转移接续跨省网上办理流程，不再邮寄纸质表单。</w:t>
            </w:r>
          </w:p>
        </w:tc>
        <w:tc>
          <w:tcPr>
            <w:tcW w:w="13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省人社厅</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2021年6月底前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207—208</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十八、包容普惠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创新</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改善医疗服务</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加强公立医院管理，提高医疗质量，提升患者满意度。</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spacing w:val="-6"/>
                <w:kern w:val="2"/>
                <w:sz w:val="24"/>
                <w:szCs w:val="24"/>
                <w:highlight w:val="none"/>
                <w:u w:val="none"/>
                <w:lang w:val="en-US" w:eastAsia="zh-CN" w:bidi="ar-SA"/>
              </w:rPr>
            </w:pPr>
            <w:r>
              <w:rPr>
                <w:rFonts w:hint="eastAsia" w:ascii="仿宋_GB2312" w:hAnsi="宋体" w:eastAsia="仿宋_GB2312" w:cs="仿宋_GB2312"/>
                <w:i w:val="0"/>
                <w:color w:val="000000"/>
                <w:spacing w:val="-6"/>
                <w:kern w:val="0"/>
                <w:sz w:val="24"/>
                <w:szCs w:val="24"/>
                <w:highlight w:val="none"/>
                <w:u w:val="none"/>
                <w:lang w:val="en-US" w:eastAsia="zh-CN" w:bidi="ar-SA"/>
              </w:rPr>
              <w:t xml:space="preserve">    1.落实预约诊疗、远程医疗、临床路径管理、检查检验结果互认、医务社工和志愿者等五项制度。2.推广多学科诊疗，打造一体化先进急诊急救服务模式，建设智慧医院，延伸提供优质护理服务，拓展药学服务新领域。</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省卫健委</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2022年底前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209</w:t>
            </w:r>
          </w:p>
        </w:tc>
        <w:tc>
          <w:tcPr>
            <w:tcW w:w="112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宋体" w:eastAsia="仿宋_GB2312" w:cs="仿宋_GB2312"/>
                <w:i w:val="0"/>
                <w:color w:val="000000"/>
                <w:kern w:val="2"/>
                <w:sz w:val="24"/>
                <w:szCs w:val="24"/>
                <w:highlight w:val="none"/>
                <w:u w:val="no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开展二级以上公立医院满意度问卷调查。</w:t>
            </w:r>
          </w:p>
        </w:tc>
        <w:tc>
          <w:tcPr>
            <w:tcW w:w="132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210</w:t>
            </w:r>
          </w:p>
        </w:tc>
        <w:tc>
          <w:tcPr>
            <w:tcW w:w="112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0"/>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十八、包容普惠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创新</w:t>
            </w:r>
          </w:p>
        </w:tc>
        <w:tc>
          <w:tcPr>
            <w:tcW w:w="93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改善医疗服务</w:t>
            </w:r>
          </w:p>
        </w:tc>
        <w:tc>
          <w:tcPr>
            <w:tcW w:w="220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提升网上医疗服务水平。</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通过12320热线，实现健康码、健康档案查询、检查检验结果查询等服务并提供给“闽政通”使用。</w:t>
            </w:r>
          </w:p>
        </w:tc>
        <w:tc>
          <w:tcPr>
            <w:tcW w:w="132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省卫健委</w:t>
            </w:r>
          </w:p>
        </w:tc>
        <w:tc>
          <w:tcPr>
            <w:tcW w:w="18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Style w:val="6"/>
                <w:rFonts w:hAnsi="宋体" w:eastAsia="仿宋_GB2312"/>
                <w:color w:val="000000"/>
                <w:sz w:val="24"/>
                <w:szCs w:val="24"/>
                <w:highlight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8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211</w:t>
            </w:r>
          </w:p>
        </w:tc>
        <w:tc>
          <w:tcPr>
            <w:tcW w:w="11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9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22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both"/>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 xml:space="preserve">    以“福建码”为载体，实现电子健康码、医保电子凭证、金融支付码等“多码融合”，在不同医疗机构间实现互联互通和医保移动支付。</w:t>
            </w:r>
          </w:p>
        </w:tc>
        <w:tc>
          <w:tcPr>
            <w:tcW w:w="13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_GB2312" w:hAnsi="宋体" w:eastAsia="仿宋_GB2312" w:cs="仿宋_GB2312"/>
                <w:i w:val="0"/>
                <w:color w:val="000000"/>
                <w:kern w:val="2"/>
                <w:sz w:val="24"/>
                <w:szCs w:val="24"/>
                <w:highlight w:val="none"/>
                <w:u w:val="none"/>
                <w:lang w:val="en-US" w:eastAsia="zh-CN" w:bidi="ar-SA"/>
              </w:rPr>
            </w:pPr>
          </w:p>
        </w:tc>
        <w:tc>
          <w:tcPr>
            <w:tcW w:w="1839"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rPr>
                <w:rFonts w:hint="eastAsia" w:ascii="仿宋_GB2312" w:hAnsi="宋体" w:eastAsia="仿宋_GB2312" w:cs="仿宋_GB2312"/>
                <w:i w:val="0"/>
                <w:color w:val="000000"/>
                <w:kern w:val="2"/>
                <w:sz w:val="24"/>
                <w:szCs w:val="24"/>
                <w:highlight w:val="none"/>
                <w:u w:val="none"/>
                <w:lang w:val="en-US" w:eastAsia="zh-CN" w:bidi="ar-SA"/>
              </w:rPr>
            </w:pPr>
          </w:p>
        </w:tc>
        <w:tc>
          <w:tcPr>
            <w:tcW w:w="9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SA"/>
              </w:rPr>
              <w:t>2021年底前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45" w:hRule="atLeast"/>
          <w:jc w:val="center"/>
        </w:trPr>
        <w:tc>
          <w:tcPr>
            <w:tcW w:w="13866"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楷体_GB2312" w:hAnsi="楷体_GB2312" w:eastAsia="楷体_GB2312" w:cs="楷体_GB2312"/>
                <w:i w:val="0"/>
                <w:color w:val="000000"/>
                <w:kern w:val="0"/>
                <w:sz w:val="24"/>
                <w:szCs w:val="24"/>
                <w:highlight w:val="none"/>
                <w:u w:val="none"/>
                <w:lang w:val="en-US" w:eastAsia="zh-CN" w:bidi="ar-SA"/>
              </w:rPr>
            </w:pPr>
            <w:r>
              <w:rPr>
                <w:rFonts w:hint="eastAsia" w:ascii="楷体_GB2312" w:hAnsi="楷体_GB2312" w:eastAsia="楷体_GB2312" w:cs="楷体_GB2312"/>
                <w:b/>
                <w:i w:val="0"/>
                <w:color w:val="000000"/>
                <w:kern w:val="0"/>
                <w:sz w:val="24"/>
                <w:szCs w:val="24"/>
                <w:highlight w:val="none"/>
                <w:u w:val="none"/>
                <w:lang w:val="en-US" w:eastAsia="zh-CN" w:bidi="ar-SA"/>
              </w:rPr>
              <w:t>说明：各市、县（区）人民政府和平潭综合实验区管委会均为各项任务的责任部门，要结合本地实际制定具体实施方案，抓好本辖区内相关事项落实工作。</w:t>
            </w:r>
          </w:p>
        </w:tc>
      </w:tr>
    </w:tbl>
    <w:p>
      <w:pPr>
        <w:pStyle w:val="2"/>
        <w:jc w:val="center"/>
        <w:rPr>
          <w:rFonts w:hint="eastAsia"/>
          <w:lang w:val="en-US" w:eastAsia="zh-CN"/>
        </w:r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960AF"/>
    <w:rsid w:val="2459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line="600" w:lineRule="exact"/>
      <w:ind w:firstLine="640" w:firstLineChars="200"/>
    </w:pPr>
    <w:rPr>
      <w:rFonts w:eastAsia="仿宋_GB231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81"/>
    <w:basedOn w:val="5"/>
    <w:uiPriority w:val="0"/>
    <w:rPr>
      <w:rFonts w:hint="eastAsia" w:ascii="仿宋_GB2312" w:eastAsia="仿宋_GB2312" w:cs="仿宋_GB2312"/>
      <w:color w:val="000000"/>
      <w:sz w:val="24"/>
      <w:szCs w:val="24"/>
      <w:u w:val="none"/>
    </w:rPr>
  </w:style>
  <w:style w:type="character" w:customStyle="1" w:styleId="7">
    <w:name w:val="font71"/>
    <w:basedOn w:val="5"/>
    <w:uiPriority w:val="0"/>
    <w:rPr>
      <w:rFonts w:hint="eastAsia" w:ascii="宋体" w:hAnsi="宋体" w:eastAsia="宋体" w:cs="宋体"/>
      <w:color w:val="000000"/>
      <w:sz w:val="21"/>
      <w:szCs w:val="21"/>
      <w:u w:val="none"/>
    </w:rPr>
  </w:style>
  <w:style w:type="character" w:customStyle="1" w:styleId="8">
    <w:name w:val="font41"/>
    <w:basedOn w:val="5"/>
    <w:uiPriority w:val="0"/>
    <w:rPr>
      <w:rFonts w:hint="eastAsia" w:ascii="宋体" w:hAnsi="宋体" w:eastAsia="宋体" w:cs="宋体"/>
      <w:color w:val="000000"/>
      <w:sz w:val="24"/>
      <w:szCs w:val="24"/>
      <w:u w:val="none"/>
    </w:rPr>
  </w:style>
  <w:style w:type="character" w:customStyle="1" w:styleId="9">
    <w:name w:val="font61"/>
    <w:basedOn w:val="5"/>
    <w:uiPriority w:val="0"/>
    <w:rPr>
      <w:rFonts w:hint="eastAsia" w:ascii="仿宋_GB2312" w:eastAsia="仿宋_GB2312" w:cs="仿宋_GB2312"/>
      <w:color w:val="000000"/>
      <w:sz w:val="24"/>
      <w:szCs w:val="24"/>
      <w:u w:val="none"/>
    </w:rPr>
  </w:style>
  <w:style w:type="character" w:customStyle="1" w:styleId="10">
    <w:name w:val="font01"/>
    <w:basedOn w:val="5"/>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2021-06-11T04:52:00Z</dcterms:created>
  <dc:creator>Administrator</dc:creator>
  <cp:lastModifiedBy>Administrator</cp:lastModifiedBy>
  <dcterms:modified xsi:type="dcterms:W3CDTF">2021-06-11T04:54:46Z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FAFC716E06F14A13ABF3AD24E0A7F975</vt:lpwstr>
  </property>
</Properties>
</file>